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51" w:rsidRDefault="00EE2C51" w:rsidP="00EE2C51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Минюсте России 9 сентября 2015 г. N 38865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Title"/>
        <w:jc w:val="center"/>
      </w:pPr>
      <w:r>
        <w:t>ЦЕНТРАЛЬНЫЙ БАНК РОССИЙСКОЙ ФЕДЕРАЦИИ</w:t>
      </w:r>
    </w:p>
    <w:p w:rsidR="00EE2C51" w:rsidRDefault="00EE2C51">
      <w:pPr>
        <w:pStyle w:val="ConsPlusTitle"/>
        <w:jc w:val="center"/>
      </w:pPr>
    </w:p>
    <w:p w:rsidR="00EE2C51" w:rsidRDefault="00EE2C51">
      <w:pPr>
        <w:pStyle w:val="ConsPlusTitle"/>
        <w:jc w:val="center"/>
      </w:pPr>
      <w:r>
        <w:t>УКАЗАНИЕ</w:t>
      </w:r>
    </w:p>
    <w:p w:rsidR="00EE2C51" w:rsidRDefault="00EE2C51">
      <w:pPr>
        <w:pStyle w:val="ConsPlusTitle"/>
        <w:jc w:val="center"/>
      </w:pPr>
      <w:r>
        <w:t>от 28 июля 2015 г. N 3743-У</w:t>
      </w:r>
    </w:p>
    <w:p w:rsidR="00EE2C51" w:rsidRDefault="00EE2C51">
      <w:pPr>
        <w:pStyle w:val="ConsPlusTitle"/>
        <w:jc w:val="center"/>
      </w:pPr>
    </w:p>
    <w:p w:rsidR="00EE2C51" w:rsidRDefault="00EE2C51">
      <w:pPr>
        <w:pStyle w:val="ConsPlusTitle"/>
        <w:jc w:val="center"/>
      </w:pPr>
      <w:r>
        <w:t>О ПОРЯДКЕ</w:t>
      </w:r>
    </w:p>
    <w:p w:rsidR="00EE2C51" w:rsidRDefault="00EE2C51">
      <w:pPr>
        <w:pStyle w:val="ConsPlusTitle"/>
        <w:jc w:val="center"/>
      </w:pPr>
      <w:r>
        <w:t>РАСЧЕТА СТРАХОВОЙ ОРГАНИЗАЦИЕЙ НОРМАТИВНОГО СООТНОШЕНИЯ</w:t>
      </w:r>
    </w:p>
    <w:p w:rsidR="00EE2C51" w:rsidRDefault="00EE2C51">
      <w:pPr>
        <w:pStyle w:val="ConsPlusTitle"/>
        <w:jc w:val="center"/>
      </w:pPr>
      <w:r>
        <w:t>СОБСТВЕННЫХ СРЕДСТВ (КАПИТАЛА) И ПРИНЯТЫХ ОБЯЗАТЕЛЬСТВ</w:t>
      </w:r>
    </w:p>
    <w:p w:rsidR="00EE2C51" w:rsidRDefault="00EE2C51">
      <w:pPr>
        <w:pStyle w:val="ConsPlusNormal"/>
        <w:jc w:val="center"/>
      </w:pPr>
    </w:p>
    <w:p w:rsidR="00EE2C51" w:rsidRDefault="00EE2C51">
      <w:pPr>
        <w:pStyle w:val="ConsPlusNormal"/>
        <w:jc w:val="center"/>
      </w:pPr>
      <w:r>
        <w:t>Список изменяющих документов</w:t>
      </w:r>
    </w:p>
    <w:p w:rsidR="00EE2C51" w:rsidRDefault="00EE2C5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jc w:val="center"/>
      </w:pPr>
    </w:p>
    <w:p w:rsidR="00EE2C51" w:rsidRDefault="00EE2C51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статьи 25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4001) (далее - Закон Российской Федерации "Об организации страхового дела в Российской Федерации") устанавливает порядок расчета страховой организацией нормативного соотношения собственных средств (капитала) и принятых обязательств (в том числе определяет показатели, используемые для такого расчета).</w:t>
      </w:r>
    </w:p>
    <w:p w:rsidR="00EE2C51" w:rsidRDefault="00EE2C51">
      <w:pPr>
        <w:pStyle w:val="ConsPlusNormal"/>
        <w:ind w:firstLine="540"/>
        <w:jc w:val="both"/>
      </w:pPr>
      <w:r>
        <w:t>1. Настоящее Указание не распространяется на страховые медицинские организации в части операций по обязательному медицинскому страхованию.</w:t>
      </w:r>
    </w:p>
    <w:p w:rsidR="00EE2C51" w:rsidRDefault="00EE2C51">
      <w:pPr>
        <w:pStyle w:val="ConsPlusNormal"/>
        <w:ind w:firstLine="540"/>
        <w:jc w:val="both"/>
      </w:pPr>
      <w:r>
        <w:t>2. Нормативное соотношение собственных средств (капитала) и принятых обязательств (далее - нормативное соотношение) рассчитывается страховой организацией как отношение фактического размера маржи платежеспособности к нормативному размеру маржи платежеспособности и отражает достаточность собственных средств (капитала) страховой организации.</w:t>
      </w:r>
    </w:p>
    <w:p w:rsidR="00EE2C51" w:rsidRDefault="00EE2C51">
      <w:pPr>
        <w:pStyle w:val="ConsPlusNormal"/>
        <w:ind w:firstLine="540"/>
        <w:jc w:val="both"/>
      </w:pPr>
      <w:r>
        <w:t>Фактический размер маржи платежеспособности страховой организации не должен быть меньше нормативного размера маржи платежеспособности указанной страховой организации.</w:t>
      </w:r>
    </w:p>
    <w:p w:rsidR="00EE2C51" w:rsidRDefault="00EE2C51">
      <w:pPr>
        <w:pStyle w:val="ConsPlusNormal"/>
        <w:ind w:firstLine="540"/>
        <w:jc w:val="both"/>
      </w:pPr>
      <w:r>
        <w:t>3. Расчет нормативного соотношения осуществляется на расчетную дату на основании данных бухгалтерского учета и отчетности страховой организации.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>Под расчетной датой понимается дата, по состоянию на которую страховая организация должна составлять бухгалтерскую (финансовую) отчетность.</w:t>
      </w:r>
    </w:p>
    <w:p w:rsidR="00EE2C51" w:rsidRDefault="00EE2C51">
      <w:pPr>
        <w:pStyle w:val="ConsPlusNormal"/>
        <w:ind w:firstLine="540"/>
        <w:jc w:val="both"/>
      </w:pPr>
      <w:r>
        <w:t>Также расчет нормативного соотношения осуществляется по запросу Банка России или иного уполномоченного лица на дату, установленную в таком запросе.</w:t>
      </w:r>
    </w:p>
    <w:p w:rsidR="00EE2C51" w:rsidRDefault="00EE2C51">
      <w:pPr>
        <w:pStyle w:val="ConsPlusNormal"/>
        <w:ind w:firstLine="540"/>
        <w:jc w:val="both"/>
      </w:pPr>
      <w:bookmarkStart w:id="1" w:name="P24"/>
      <w:bookmarkEnd w:id="1"/>
      <w:r>
        <w:t xml:space="preserve">При расчете нормативного соотношения под страховыми резервами по страхованию жизни понимаются страховые резервы, сформированные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557-П "О правилах формирования страховых резервов по страхованию жизни", зарегистрированным Министерством юстиции Российской Федерации 29 декабря 2016 года 45055 ("Вестник Банка России" от 19 января 2017 года N 5), если не указано иное.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 xml:space="preserve">Под страховыми резервами по страхованию иному, чем страхование жизни, понимаются страховые резервы, сформированные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558-П "О правилах формирования страховых резервов по страхованию иному, чем страхование жизни", зарегистрированным Министерством юстиции Российской Федерации 29 декабря 2016 года N 45054 ("Вестник Банка России" от 19 января 2017 года N 5), если не указано иное.</w:t>
      </w:r>
    </w:p>
    <w:p w:rsidR="00EE2C51" w:rsidRDefault="00EE2C51">
      <w:pPr>
        <w:pStyle w:val="ConsPlusNormal"/>
        <w:jc w:val="both"/>
      </w:pPr>
      <w:r>
        <w:lastRenderedPageBreak/>
        <w:t xml:space="preserve">(абзац введен </w:t>
      </w:r>
      <w:hyperlink r:id="rId10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>4. Если для расчета нормативного соотношения в соответствии с законодательством Российской Федерации невозможно рассчитать какой-либо из показателей, необходимых для такого расчета, он принимается равным его величине на ближайшую дату, на которую он мог быть рассчитан.</w:t>
      </w:r>
    </w:p>
    <w:p w:rsidR="00EE2C51" w:rsidRDefault="00EE2C51">
      <w:pPr>
        <w:pStyle w:val="ConsPlusNormal"/>
        <w:ind w:firstLine="540"/>
        <w:jc w:val="both"/>
      </w:pPr>
      <w:r>
        <w:t>5. Фактический размер маржи платежеспособности страховой организации представляет собой расчетную величину, определяемую как сумма уставного капитала, добавочного капитала, резервного капитала, нераспределенной прибыли отчетного года и прошлых лет, уменьшенная на непокрытые убытки отчетного года и прошлых лет; на задолженность акционеров (участников) по взносам в уставный капитал; на стоимость собственных акций (долей или частей долей в уставном капитале), выкупленных у акционеров (участников); на стоимость нематериальных активов; на дебиторскую задолженность, сроки погашения которой истекли, за вычетом оценочных резервов, сформированных под обесценение данной задолженности в соответствии с законодательством Российской Федерации; а также на сумму субординированных займов, выданных страховой организацией ее дочерним обществам.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второй пункта 5 данного документа действует до 1 января 2022 года (</w:t>
      </w:r>
      <w:hyperlink r:id="rId12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Расчетная величина фактического размера маржи платежеспособности страховой организации уменьшается также на величину корректировки страховых резервов.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третий пункта 5 данного документа действует до 1 января 2022 года (</w:t>
      </w:r>
      <w:hyperlink r:id="rId14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Корректировка страховых резервов (КР) определяется по следующей формуле: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jc w:val="both"/>
      </w:pP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четвертый пункта 5 данного документа действует до 1 января 2022 года (</w:t>
      </w:r>
      <w:hyperlink r:id="rId16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КР = (</w:t>
      </w: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Доп</w:t>
      </w:r>
      <w:r>
        <w:rPr>
          <w:vertAlign w:val="subscript"/>
        </w:rPr>
        <w:t>рег</w:t>
      </w:r>
      <w:proofErr w:type="spellEnd"/>
      <w:r>
        <w:t>) - (</w:t>
      </w: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+ </w:t>
      </w: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>),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jc w:val="both"/>
      </w:pP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пятый пункта 5 данного документа действует до 1 января 2022 года (</w:t>
      </w:r>
      <w:hyperlink r:id="rId18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где: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шестой пункта 5 данного документа действует до 1 января 2022 года (</w:t>
      </w:r>
      <w:hyperlink r:id="rId20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КР - корректировка страховых резервов на дату расчета нормативного соотношения;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седьмой пункта 5 данного документа действует до 1 января 2022 года (</w:t>
      </w:r>
      <w:hyperlink r:id="rId22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суммарная величина страховых резервов по страхованию жизни и страхованию иному, чем страхование жизни, на дату расчета нормативного соотношения;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восьмой пункта 5 данного документа действует до 1 января 2022 года (</w:t>
      </w:r>
      <w:hyperlink r:id="rId24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 xml:space="preserve"> - суммарная величина долей перестраховщиков в страховых резервах по страхованию жизни и страхованию иному, чем страхование жизни;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девятый пункта 5 данного документа действует до 1 января 2022 года (</w:t>
      </w:r>
      <w:hyperlink r:id="rId26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Доп</w:t>
      </w:r>
      <w:r>
        <w:rPr>
          <w:vertAlign w:val="subscript"/>
        </w:rPr>
        <w:t>рег</w:t>
      </w:r>
      <w:proofErr w:type="spellEnd"/>
      <w:r>
        <w:t xml:space="preserve"> - величина дополнительной части резерва незаработанной премии;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десятый пункта 5 данного документа действует до 1 января 2022 года (</w:t>
      </w:r>
      <w:hyperlink r:id="rId28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сумма оценок страховых резервов по страхованию иному, чем страхование жизни, с учетом оценки будущих поступлений по суброгациям, регрессам и от реализации годных остатков, страховых резервов по страхованию жизни, обязательств по договорам, классифицированным как инвестиционные, определенных в соответствии с принципами, описанными в </w:t>
      </w:r>
      <w:hyperlink r:id="rId29" w:history="1">
        <w:r>
          <w:rPr>
            <w:color w:val="0000FF"/>
          </w:rPr>
          <w:t>Положении</w:t>
        </w:r>
      </w:hyperlink>
      <w:r>
        <w:t xml:space="preserve"> Банка России от 4 сентября 2015 года N 491-П "Отраслевой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Федерации", зарегистрированном Министерством юстиции Российской Федерации 21 октября 2015 года N 39399, 15 декабря 2016 года N 44742 ("Вестник Банка России" от 9 ноября 2015 года N 99 - 100, от 17 января 2017 года N 2) (далее - Принципы), на дату расчета нормативного соотношения;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одиннадцатый пункта 5 данного документа действует до 1 января 2022 года (</w:t>
      </w:r>
      <w:hyperlink r:id="rId31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сумма долей перестраховщиков в резервах по страхованию жизни и в резервах по страхованию иному, чем страхование жизни, и доли перестраховщиков в обязательствах по договорам страхования жизни, классифицированным как инвестиционные, определенных в соответствии с Принципами;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двенадцатый пункта 5 данного документа действует до 1 января 2022 года (</w:t>
      </w:r>
      <w:hyperlink r:id="rId33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- величина отложенных </w:t>
      </w:r>
      <w:proofErr w:type="spellStart"/>
      <w:r>
        <w:t>аквизиционных</w:t>
      </w:r>
      <w:proofErr w:type="spellEnd"/>
      <w:r>
        <w:t xml:space="preserve"> расходов, определенная в соответствии с Принципами;</w:t>
      </w:r>
    </w:p>
    <w:p w:rsidR="00EE2C51" w:rsidRDefault="00EE2C51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тринадцатый пункта 5 данного документа действует до 1 января 2022 года (</w:t>
      </w:r>
      <w:hyperlink r:id="rId35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 xml:space="preserve"> - величина отложенных </w:t>
      </w:r>
      <w:proofErr w:type="spellStart"/>
      <w:r>
        <w:t>аквизиционных</w:t>
      </w:r>
      <w:proofErr w:type="spellEnd"/>
      <w:r>
        <w:t xml:space="preserve"> доходов, определенная в соответствии с Принципами.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C51" w:rsidRDefault="00EE2C51">
      <w:pPr>
        <w:pStyle w:val="ConsPlusNormal"/>
        <w:ind w:firstLine="540"/>
        <w:jc w:val="both"/>
      </w:pPr>
      <w:r>
        <w:t>Абзац четырнадцатый пункта 5 данного документа действует до 1 января 2022 года (</w:t>
      </w:r>
      <w:hyperlink r:id="rId37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51" w:rsidRDefault="00EE2C51">
      <w:pPr>
        <w:pStyle w:val="ConsPlusNormal"/>
        <w:ind w:firstLine="540"/>
        <w:jc w:val="both"/>
      </w:pPr>
      <w:r>
        <w:t>В случае если величина показателя КР меньше 0, то в целях расчета она принимается равной 0.</w:t>
      </w:r>
    </w:p>
    <w:p w:rsidR="00EE2C51" w:rsidRDefault="00EE2C5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bookmarkStart w:id="2" w:name="P111"/>
      <w:bookmarkEnd w:id="2"/>
      <w:r>
        <w:t xml:space="preserve">6. Страховая организация вправе увеличивать величину фактического размера маржи платежеспособности на сумму остаточных стоимостей привлеченных страховой организацией субординированных займов, рассчитанных в соответствии с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24" w:history="1">
        <w:r>
          <w:rPr>
            <w:color w:val="0000FF"/>
          </w:rPr>
          <w:t>8</w:t>
        </w:r>
      </w:hyperlink>
      <w:r>
        <w:t xml:space="preserve"> настоящего Указания, в пределах ограничений, установленных </w:t>
      </w:r>
      <w:hyperlink r:id="rId39" w:history="1">
        <w:r>
          <w:rPr>
            <w:color w:val="0000FF"/>
          </w:rPr>
          <w:t>пунктом 4.3 статьи 25</w:t>
        </w:r>
      </w:hyperlink>
      <w:r>
        <w:t xml:space="preserve"> Закона Российской Федерации "Об организации страхового дела в Российской Федерации".</w:t>
      </w:r>
    </w:p>
    <w:p w:rsidR="00EE2C51" w:rsidRDefault="00EE2C51">
      <w:pPr>
        <w:pStyle w:val="ConsPlusNormal"/>
        <w:ind w:firstLine="540"/>
        <w:jc w:val="both"/>
      </w:pPr>
      <w:bookmarkStart w:id="3" w:name="P112"/>
      <w:bookmarkEnd w:id="3"/>
      <w:r>
        <w:t>7. Остаточная стоимость отдельного субординированного займа определяется по следующей формуле:</w:t>
      </w: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Normal"/>
        <w:ind w:firstLine="540"/>
        <w:jc w:val="both"/>
      </w:pPr>
      <w:r w:rsidRPr="00D916C5">
        <w:rPr>
          <w:position w:val="-24"/>
        </w:rPr>
        <w:pict>
          <v:shape id="_x0000_i1025" style="width:70.5pt;height:35.25pt" coordsize="" o:spt="100" adj="0,,0" path="" filled="f" stroked="f">
            <v:stroke joinstyle="miter"/>
            <v:imagedata r:id="rId40" o:title="base_1_213923_3"/>
            <v:formulas/>
            <v:path o:connecttype="segments"/>
          </v:shape>
        </w:pict>
      </w: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Normal"/>
        <w:ind w:firstLine="540"/>
        <w:jc w:val="both"/>
      </w:pPr>
      <w:r>
        <w:t>где:</w:t>
      </w:r>
    </w:p>
    <w:p w:rsidR="00EE2C51" w:rsidRDefault="00EE2C51">
      <w:pPr>
        <w:pStyle w:val="ConsPlusNormal"/>
        <w:ind w:firstLine="540"/>
        <w:jc w:val="both"/>
      </w:pPr>
      <w:r>
        <w:t>О - остаточная стоимость субординированного займа на дату расчета нормативного соотношения;</w:t>
      </w:r>
    </w:p>
    <w:p w:rsidR="00EE2C51" w:rsidRDefault="00EE2C51">
      <w:pPr>
        <w:pStyle w:val="ConsPlusNormal"/>
        <w:ind w:firstLine="540"/>
        <w:jc w:val="both"/>
      </w:pPr>
      <w:r>
        <w:t>Д - полная стоимость субординированного займа;</w:t>
      </w:r>
    </w:p>
    <w:p w:rsidR="00EE2C51" w:rsidRDefault="00EE2C51">
      <w:pPr>
        <w:pStyle w:val="ConsPlusNormal"/>
        <w:ind w:firstLine="540"/>
        <w:jc w:val="both"/>
      </w:pPr>
      <w:r>
        <w:t>С - параметр, принимающий одно из следующих значений:</w:t>
      </w:r>
    </w:p>
    <w:p w:rsidR="00EE2C51" w:rsidRDefault="00EE2C51">
      <w:pPr>
        <w:pStyle w:val="ConsPlusNormal"/>
        <w:ind w:firstLine="540"/>
        <w:jc w:val="both"/>
      </w:pPr>
      <w:r>
        <w:t>С = 0, в течение первого квартала с даты привлечения субординированного займа;</w:t>
      </w:r>
    </w:p>
    <w:p w:rsidR="00EE2C51" w:rsidRDefault="00EE2C51">
      <w:pPr>
        <w:pStyle w:val="ConsPlusNormal"/>
        <w:ind w:firstLine="540"/>
        <w:jc w:val="both"/>
      </w:pPr>
      <w:r>
        <w:t>С = 20, по прошествии первого квартала - в течение второго и последующих кварталов с даты привлечения субординированного займа, при условии, что до даты погашения субординированного займа остается более 20 полных кварталов;</w:t>
      </w:r>
    </w:p>
    <w:p w:rsidR="00EE2C51" w:rsidRDefault="00EE2C51">
      <w:pPr>
        <w:pStyle w:val="ConsPlusNormal"/>
        <w:ind w:firstLine="540"/>
        <w:jc w:val="both"/>
      </w:pPr>
      <w:r>
        <w:t>С = N, по прошествии первого квартала - в течение второго и последующих кварталов с даты привлечения субординированного займа, при условии, что до даты погашения субординированного займа остается не более 20 полных кварталов, где</w:t>
      </w:r>
    </w:p>
    <w:p w:rsidR="00EE2C51" w:rsidRDefault="00EE2C51">
      <w:pPr>
        <w:pStyle w:val="ConsPlusNormal"/>
        <w:ind w:firstLine="540"/>
        <w:jc w:val="both"/>
      </w:pPr>
      <w:r>
        <w:t>N - период амортизации: количество полных кварталов, оставшихся до погашения субординированного займа, отсчет которых ведется с даты погашения, указанной в договоре субординированного займа (</w:t>
      </w:r>
      <w:proofErr w:type="gramStart"/>
      <w:r>
        <w:t xml:space="preserve">1 </w:t>
      </w:r>
      <w:r w:rsidRPr="00D916C5">
        <w:rPr>
          <w:position w:val="-4"/>
        </w:rPr>
        <w:pict>
          <v:shape id="_x0000_i1026" style="width:12pt;height:13.5pt" coordsize="" o:spt="100" adj="0,,0" path="" filled="f" stroked="f">
            <v:stroke joinstyle="miter"/>
            <v:imagedata r:id="rId41" o:title="base_1_213923_4"/>
            <v:formulas/>
            <v:path o:connecttype="segments"/>
          </v:shape>
        </w:pict>
      </w:r>
      <w:r>
        <w:t xml:space="preserve"> N</w:t>
      </w:r>
      <w:proofErr w:type="gramEnd"/>
      <w:r>
        <w:t xml:space="preserve"> </w:t>
      </w:r>
      <w:r w:rsidRPr="00D916C5">
        <w:rPr>
          <w:position w:val="-4"/>
        </w:rPr>
        <w:pict>
          <v:shape id="_x0000_i1027" style="width:12pt;height:13.5pt" coordsize="" o:spt="100" adj="0,,0" path="" filled="f" stroked="f">
            <v:stroke joinstyle="miter"/>
            <v:imagedata r:id="rId41" o:title="base_1_213923_5"/>
            <v:formulas/>
            <v:path o:connecttype="segments"/>
          </v:shape>
        </w:pict>
      </w:r>
      <w:r>
        <w:t xml:space="preserve"> 20), принимает значение 20 в течение первого квартала периода амортизации, значение 19 - в течение второго квартала периода амортизации и так далее, заканчивая значением 1, - в течение последнего квартала, оставшегося до погашения субординированного займа).</w:t>
      </w:r>
    </w:p>
    <w:p w:rsidR="00EE2C51" w:rsidRDefault="00EE2C51">
      <w:pPr>
        <w:pStyle w:val="ConsPlusNormal"/>
        <w:ind w:firstLine="540"/>
        <w:jc w:val="both"/>
      </w:pPr>
      <w:bookmarkStart w:id="4" w:name="P124"/>
      <w:bookmarkEnd w:id="4"/>
      <w:r>
        <w:t xml:space="preserve">8. В случае если договором займа предусмотрено поэтапное, то есть отдельными траншами (частями), погашение субординированного займа, то остаточная стоимость рассчитывается как сумма остаточных стоимостей каждого отдельного транша, определяемых в соответствии с </w:t>
      </w:r>
      <w:hyperlink w:anchor="P111" w:history="1">
        <w:r>
          <w:rPr>
            <w:color w:val="0000FF"/>
          </w:rPr>
          <w:t>пунктом 6</w:t>
        </w:r>
      </w:hyperlink>
      <w:r>
        <w:t xml:space="preserve"> настоящего Указания с учетом сроков их погашения, предусмотренных договором.</w:t>
      </w:r>
    </w:p>
    <w:p w:rsidR="00EE2C51" w:rsidRDefault="00EE2C51">
      <w:pPr>
        <w:pStyle w:val="ConsPlusNormal"/>
        <w:ind w:firstLine="540"/>
        <w:jc w:val="both"/>
      </w:pPr>
      <w:r>
        <w:t xml:space="preserve">9. Нормативный размер маржи платежеспособности страховой организации представляет собой расчетную величину, определяемую путем суммирования рассчитанных в соответствии с настоящим Указанием нормативных размеров маржи платежеспособности по страхованию жизни, </w:t>
      </w:r>
      <w:r>
        <w:lastRenderedPageBreak/>
        <w:t xml:space="preserve">по страхованию иному, чем страхование жизни, и величин, указанных в </w:t>
      </w:r>
      <w:hyperlink w:anchor="P156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58" w:history="1">
        <w:r>
          <w:rPr>
            <w:color w:val="0000FF"/>
          </w:rPr>
          <w:t>15</w:t>
        </w:r>
      </w:hyperlink>
      <w:r>
        <w:t xml:space="preserve"> настоящего Указания.</w:t>
      </w:r>
    </w:p>
    <w:p w:rsidR="00EE2C51" w:rsidRDefault="00EE2C51">
      <w:pPr>
        <w:pStyle w:val="ConsPlusNormal"/>
        <w:ind w:firstLine="540"/>
        <w:jc w:val="both"/>
      </w:pPr>
      <w:r>
        <w:t xml:space="preserve">10. Если нормативный размер маржи платежеспособности страховой организации меньше минимального размера уставного капитала, установленного </w:t>
      </w:r>
      <w:hyperlink r:id="rId42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"Об организации страхового дела в Российской Федерации", то за нормативный размер маржи платежеспособности страховой организации принимается законодательно установленный минимальный размер уставного капитала.</w:t>
      </w:r>
    </w:p>
    <w:p w:rsidR="00EE2C51" w:rsidRDefault="00EE2C51">
      <w:pPr>
        <w:pStyle w:val="ConsPlusNormal"/>
        <w:ind w:firstLine="540"/>
        <w:jc w:val="both"/>
      </w:pPr>
      <w:r>
        <w:t>11. Нормативный размер маржи платежеспособности страховой организации по страхованию жизни равен произведению пяти процентов от суммы страховых резервов по страхованию жизни, сформированных на расчетную дату, на поправочный коэффициент (</w:t>
      </w:r>
      <w:proofErr w:type="spellStart"/>
      <w:r>
        <w:t>Кж</w:t>
      </w:r>
      <w:proofErr w:type="spellEnd"/>
      <w:r>
        <w:t>).</w:t>
      </w:r>
    </w:p>
    <w:p w:rsidR="00EE2C51" w:rsidRDefault="00EE2C51">
      <w:pPr>
        <w:pStyle w:val="ConsPlusNormal"/>
        <w:ind w:firstLine="540"/>
        <w:jc w:val="both"/>
      </w:pPr>
      <w:r>
        <w:t>Поправочный коэффициент (</w:t>
      </w:r>
      <w:proofErr w:type="spellStart"/>
      <w:r>
        <w:t>Кж</w:t>
      </w:r>
      <w:proofErr w:type="spellEnd"/>
      <w:r>
        <w:t>) определяется как отношение суммы страховых резервов по страхованию жизни, сформированных страховой организацией на расчетную дату, за минусом долей перестраховщиков в таких страховых резервах к совокупной величине указанных страховых резервов.</w:t>
      </w:r>
    </w:p>
    <w:p w:rsidR="00EE2C51" w:rsidRDefault="00EE2C51">
      <w:pPr>
        <w:pStyle w:val="ConsPlusNormal"/>
        <w:ind w:firstLine="540"/>
        <w:jc w:val="both"/>
      </w:pPr>
      <w:r>
        <w:t>В случае если поправочный коэффициент (</w:t>
      </w:r>
      <w:proofErr w:type="spellStart"/>
      <w:r>
        <w:t>Кж</w:t>
      </w:r>
      <w:proofErr w:type="spellEnd"/>
      <w:r>
        <w:t>) меньше 0,85, в целях расчета он принимается равным 0,85.</w:t>
      </w:r>
    </w:p>
    <w:p w:rsidR="00EE2C51" w:rsidRDefault="00EE2C51">
      <w:pPr>
        <w:pStyle w:val="ConsPlusNormal"/>
        <w:ind w:firstLine="540"/>
        <w:jc w:val="both"/>
      </w:pPr>
      <w:r>
        <w:t xml:space="preserve">12. Нормативный размер маржи платежеспособности страховой организации по страхованию иному, чем страхование жизни, рассчитывается на основании данных о страховых премиях (взносах) и о страховых выплатах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относящимся к страхованию иному, чем страхование жизни (далее - договоры страхования, </w:t>
      </w:r>
      <w:proofErr w:type="spellStart"/>
      <w:r>
        <w:t>сострахования</w:t>
      </w:r>
      <w:proofErr w:type="spellEnd"/>
      <w:r>
        <w:t xml:space="preserve"> и договоры, принятые в перестрахование).</w:t>
      </w:r>
    </w:p>
    <w:p w:rsidR="00EE2C51" w:rsidRDefault="00EE2C51">
      <w:pPr>
        <w:pStyle w:val="ConsPlusNormal"/>
        <w:ind w:firstLine="540"/>
        <w:jc w:val="both"/>
      </w:pPr>
      <w:r>
        <w:t>Нормативный размер маржи платежеспособности страховой организации по страхованию иному, чем страхование жизни, равен наибольшему из следующих двух показателей, умноженному на поправочный коэффициент (Ки).</w:t>
      </w:r>
    </w:p>
    <w:p w:rsidR="00EE2C51" w:rsidRDefault="00EE2C51">
      <w:pPr>
        <w:pStyle w:val="ConsPlusNormal"/>
        <w:ind w:firstLine="540"/>
        <w:jc w:val="both"/>
      </w:pPr>
      <w:bookmarkStart w:id="5" w:name="P132"/>
      <w:bookmarkEnd w:id="5"/>
      <w:r>
        <w:t>12.1. Первый показатель - показатель, рассчитываемый на основе страховых премий (взносов). Расчетным периодом для вычисления данного показателя является год (12 месяцев), предшествующий расчетной дате.</w:t>
      </w:r>
    </w:p>
    <w:p w:rsidR="00EE2C51" w:rsidRDefault="00EE2C51">
      <w:pPr>
        <w:pStyle w:val="ConsPlusNormal"/>
        <w:ind w:firstLine="540"/>
        <w:jc w:val="both"/>
      </w:pPr>
      <w:r>
        <w:t xml:space="preserve">Первый показатель равен 16 процентам от суммы страховых премий (взносов), начисленных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период, уменьшенной на сумму отчислений от страховых премий (взносов) по договорам страхования, </w:t>
      </w:r>
      <w:proofErr w:type="spellStart"/>
      <w:r>
        <w:t>сострахования</w:t>
      </w:r>
      <w:proofErr w:type="spellEnd"/>
      <w:r>
        <w:t>, осуществленных страховой организацией за расчетный период в соответствии с законодательством Российской Федерации и правилами и стандартами профессиональных объединений, союзов, ассоциаций страховых организаций, к полномочиям которых относится аккумулирование производимых страховыми организациями отчислений от страховых премий в соответствии с законодательством Российской Федерации.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44" w:history="1">
        <w:r>
          <w:rPr>
            <w:color w:val="0000FF"/>
          </w:rPr>
          <w:t>Указание</w:t>
        </w:r>
      </w:hyperlink>
      <w:r>
        <w:t xml:space="preserve"> Банка России от 06.02.2017 N 4280-У.</w:t>
      </w:r>
    </w:p>
    <w:p w:rsidR="00EE2C51" w:rsidRDefault="00EE2C51">
      <w:pPr>
        <w:pStyle w:val="ConsPlusNormal"/>
        <w:ind w:firstLine="540"/>
        <w:jc w:val="both"/>
      </w:pPr>
      <w:r>
        <w:t>Страховая организация, у которой с момента получения в установленном порядке первой лицензии на осуществление страхования (кроме лицензии на осуществление добровольного страхования жизни) до расчетной даты прошло менее года (12 месяцев), в качестве расчетного периода при вычислении первого показателя использует период со дня получения указанной лицензии до расчетной даты.</w:t>
      </w:r>
    </w:p>
    <w:p w:rsidR="00EE2C51" w:rsidRDefault="00EE2C51">
      <w:pPr>
        <w:pStyle w:val="ConsPlusNormal"/>
        <w:ind w:firstLine="540"/>
        <w:jc w:val="both"/>
      </w:pPr>
      <w:r>
        <w:t>Перестраховочная организация, у которой с момента получения лицензии на перестрахование до расчетной даты прошло менее года (12 месяцев), в качестве расчетного периода при вычислении первого показателя использует период со дня получения указанной лицензии до расчетной даты.</w:t>
      </w:r>
    </w:p>
    <w:p w:rsidR="00EE2C51" w:rsidRDefault="00EE2C51">
      <w:pPr>
        <w:pStyle w:val="ConsPlusNormal"/>
        <w:ind w:firstLine="540"/>
        <w:jc w:val="both"/>
      </w:pPr>
      <w:bookmarkStart w:id="6" w:name="P138"/>
      <w:bookmarkEnd w:id="6"/>
      <w:r>
        <w:t>12.2. Второй показатель - показатель, рассчитываемый на основе страховых выплат. Расчетным периодом для вычисления данного показателя являются три года (36 месяцев), предшествующих расчетной дате.</w:t>
      </w:r>
    </w:p>
    <w:p w:rsidR="00EE2C51" w:rsidRDefault="00EE2C51">
      <w:pPr>
        <w:pStyle w:val="ConsPlusNormal"/>
        <w:ind w:firstLine="540"/>
        <w:jc w:val="both"/>
      </w:pPr>
      <w:r>
        <w:t>Второй показатель равен 23 процентам от одной трети суммы:</w:t>
      </w:r>
    </w:p>
    <w:p w:rsidR="00EE2C51" w:rsidRDefault="00EE2C51">
      <w:pPr>
        <w:pStyle w:val="ConsPlusNormal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минусом сумм, начисленных по </w:t>
      </w:r>
      <w:proofErr w:type="spellStart"/>
      <w:r>
        <w:t>суброгационным</w:t>
      </w:r>
      <w:proofErr w:type="spellEnd"/>
      <w:r>
        <w:t xml:space="preserve"> и регрессным требованиям за расчетный период;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lastRenderedPageBreak/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период.</w:t>
      </w:r>
    </w:p>
    <w:p w:rsidR="00EE2C51" w:rsidRDefault="00EE2C51">
      <w:pPr>
        <w:pStyle w:val="ConsPlusNormal"/>
        <w:ind w:firstLine="540"/>
        <w:jc w:val="both"/>
      </w:pPr>
      <w:r>
        <w:t>Страховая организация, у которой с момента получения в установленном порядке первой лицензии на осуществление страхования, кроме лицензии на осуществление добровольного страхования жизни, или перестраховочная организация, у которой с момента получения лицензии на перестрахование до расчетной даты прошло менее трех лет (36 месяцев), не рассчитывает второй показатель.</w:t>
      </w:r>
    </w:p>
    <w:p w:rsidR="00EE2C51" w:rsidRDefault="00EE2C51">
      <w:pPr>
        <w:pStyle w:val="ConsPlusNormal"/>
        <w:ind w:firstLine="540"/>
        <w:jc w:val="both"/>
      </w:pPr>
      <w:r>
        <w:t>12.3. Расчетным периодом для вычисления поправочного коэффициента (Ки) является год (12 месяцев), предшествующий расчетной дате.</w:t>
      </w:r>
    </w:p>
    <w:p w:rsidR="00EE2C51" w:rsidRDefault="00EE2C51">
      <w:pPr>
        <w:pStyle w:val="ConsPlusNormal"/>
        <w:ind w:firstLine="540"/>
        <w:jc w:val="both"/>
      </w:pPr>
      <w:r>
        <w:t>Поправочный коэффициент (Ки) определяется как отношение суммы:</w:t>
      </w:r>
    </w:p>
    <w:p w:rsidR="00EE2C51" w:rsidRDefault="00EE2C51">
      <w:pPr>
        <w:pStyle w:val="ConsPlusNormal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минусом начисленной доли перестраховщиков в страховых выплатах за расчетный период;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минусом изменения доли перестраховщиков в указанных резервах за расчетный период;</w:t>
      </w:r>
    </w:p>
    <w:p w:rsidR="00EE2C51" w:rsidRDefault="00EE2C51">
      <w:pPr>
        <w:pStyle w:val="ConsPlusNormal"/>
        <w:ind w:firstLine="540"/>
        <w:jc w:val="both"/>
      </w:pPr>
      <w:r>
        <w:t>к сумме:</w:t>
      </w:r>
    </w:p>
    <w:p w:rsidR="00EE2C51" w:rsidRDefault="00EE2C51">
      <w:pPr>
        <w:pStyle w:val="ConsPlusNormal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расчетный период;</w:t>
      </w:r>
    </w:p>
    <w:p w:rsidR="00EE2C51" w:rsidRDefault="00EE2C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период.</w:t>
      </w:r>
    </w:p>
    <w:p w:rsidR="00EE2C51" w:rsidRDefault="00EE2C51">
      <w:pPr>
        <w:pStyle w:val="ConsPlusNormal"/>
        <w:ind w:firstLine="540"/>
        <w:jc w:val="both"/>
      </w:pPr>
      <w:r>
        <w:t xml:space="preserve">При отсутствии в расчетном периоде страховых выплат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поправочный коэффициент (Ки) принимается равным 1.</w:t>
      </w:r>
    </w:p>
    <w:p w:rsidR="00EE2C51" w:rsidRDefault="00EE2C51">
      <w:pPr>
        <w:pStyle w:val="ConsPlusNormal"/>
        <w:ind w:firstLine="540"/>
        <w:jc w:val="both"/>
      </w:pPr>
      <w:r>
        <w:t>В случае если поправочный коэффициент (Ки) меньше 0,5, то в целях расчета он принимается равным 0,5, если больше 1 - равным 1.</w:t>
      </w:r>
    </w:p>
    <w:p w:rsidR="00EE2C51" w:rsidRDefault="00EE2C51">
      <w:pPr>
        <w:pStyle w:val="ConsPlusNormal"/>
        <w:ind w:firstLine="540"/>
        <w:jc w:val="both"/>
      </w:pPr>
      <w:r>
        <w:t>Страховая организация, у которой с момента получения в установленном порядке первой лицензии на осуществление страхования, кроме лицензии на осуществление добровольного страхования жизни, или перестраховочная организация, у которой с момента получения лицензии на перестрахование до расчетной даты прошло менее года (12 месяцев), в качестве расчетного периода при вычислении поправочного коэффициента (Ки) использует период со дня получения указанной лицензии до расчетной даты.</w:t>
      </w:r>
    </w:p>
    <w:p w:rsidR="00EE2C51" w:rsidRDefault="00EE2C51">
      <w:pPr>
        <w:pStyle w:val="ConsPlusNormal"/>
        <w:ind w:firstLine="540"/>
        <w:jc w:val="both"/>
      </w:pPr>
      <w:bookmarkStart w:id="7" w:name="P156"/>
      <w:bookmarkEnd w:id="7"/>
      <w:r>
        <w:t>13. Для страховых организаций, осуществляющих выдачу независимых гарантий и поручительств, нормативный размер маржи платежеспособности увеличивается на величину равную двум процентам от суммы обязательств страховой организации по выданным независимым гарантиям и объема обязательств, обеспечиваемых страховой организацией по поручительствам.</w:t>
      </w:r>
    </w:p>
    <w:p w:rsidR="00EE2C51" w:rsidRDefault="00EE2C51">
      <w:pPr>
        <w:pStyle w:val="ConsPlusNormal"/>
        <w:ind w:firstLine="540"/>
        <w:jc w:val="both"/>
      </w:pPr>
      <w:r>
        <w:t xml:space="preserve">14. Для страховых организаций, осуществляющих страхование, </w:t>
      </w:r>
      <w:proofErr w:type="spellStart"/>
      <w:r>
        <w:t>сострахование</w:t>
      </w:r>
      <w:proofErr w:type="spellEnd"/>
      <w:r>
        <w:t xml:space="preserve"> гражданской ответственности застройщика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N 43, ст. 4412; 2008, N 30, ст. 3616; 2009, N 29, ст. 3584; 2010, N 25, ст. 3070; 2011, N 49, ст. 7015, ст. 7040; 2012, N 29, ст. 3998; N 53, ст. 7619, ст. 7643; 2013, N 30, ст. 4074, ст. 4082; N 52, ст. 6979; 2014, N 26, ст. 3377; N 30, ст. 4225; "Официальный интернет-портал правовой информации" (www.pravo.gov.ru), 14 июля 2015 года), а также принимающих в перестрахование обязательства по страховым выплатам по указанному в настоящем пункте страхованию (далее - страхование гражданской ответственности застройщика), нормативный размер маржи платежеспособности увеличивается на сумму рассчитанных в отношении каждого застройщика превышений совокупного объема ответственности нетто-перестрахование по всем действующим на расчетную </w:t>
      </w:r>
      <w:r>
        <w:lastRenderedPageBreak/>
        <w:t>дату договорам страхования гражданской ответственности застройщика (в отношении каждого отдельного застройщика) над показателем равным 30 процентам от фактического размера маржи платежеспособности страховой организации.</w:t>
      </w:r>
    </w:p>
    <w:p w:rsidR="00EE2C51" w:rsidRDefault="00EE2C51">
      <w:pPr>
        <w:pStyle w:val="ConsPlusNormal"/>
        <w:ind w:firstLine="540"/>
        <w:jc w:val="both"/>
      </w:pPr>
      <w:bookmarkStart w:id="8" w:name="P158"/>
      <w:bookmarkEnd w:id="8"/>
      <w:r>
        <w:t xml:space="preserve">15. Для страховых организаций, осуществляющих страхование, </w:t>
      </w:r>
      <w:proofErr w:type="spellStart"/>
      <w:r>
        <w:t>сострахование</w:t>
      </w:r>
      <w:proofErr w:type="spellEnd"/>
      <w:r>
        <w:t xml:space="preserve"> ответственности туроператора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 N 52, ст. 6441; 2010, N 32, ст. 4298; 2011, N 27, ст. 3880; 2012, N 19, ст. 2281), а также принимающих в перестрахование обязательства по страховым выплатам по указанному в настоящем пункте страхованию (далее - страхование ответственности туроператора) нормативный размер маржи платежеспособности увеличивается на сумму рассчитанных в отношении каждого туроператора превышений совокупного объема ответственности нетто-перестрахование по всем действующим на расчетную дату договорам страхования ответственности туроператора (в отношении каждого отдельного туроператора) над показателем равным 10 процентам от фактического размера маржи платежеспособности страховой организации.</w:t>
      </w:r>
    </w:p>
    <w:p w:rsidR="00EE2C51" w:rsidRDefault="00EE2C51">
      <w:pPr>
        <w:pStyle w:val="ConsPlusNormal"/>
        <w:ind w:firstLine="540"/>
        <w:jc w:val="both"/>
      </w:pPr>
      <w:r>
        <w:t xml:space="preserve">16. Под совокупным объемом ответственности нетто-перестрахование понимается величина денежных средств, подлежащая выплате страховой организацией застрахованным лицам или выгодоприобретателям по договорам страхования, </w:t>
      </w:r>
      <w:proofErr w:type="spellStart"/>
      <w:r>
        <w:t>сострахования</w:t>
      </w:r>
      <w:proofErr w:type="spellEnd"/>
      <w:r>
        <w:t xml:space="preserve">, перестрахования, при условии одновременного наступления страховых случаев в размере страховой суммы по всем действующим на расчетную дату договорам страхования, </w:t>
      </w:r>
      <w:proofErr w:type="spellStart"/>
      <w:r>
        <w:t>сострахования</w:t>
      </w:r>
      <w:proofErr w:type="spellEnd"/>
      <w:r>
        <w:t xml:space="preserve">, перестрахования за вычетом долей перестраховщиков в таких выплатах, предусмотренных в заключенных страховой организацией договорах перестрахования, в том числе в договорах </w:t>
      </w:r>
      <w:proofErr w:type="spellStart"/>
      <w:r>
        <w:t>ретроцессии</w:t>
      </w:r>
      <w:proofErr w:type="spellEnd"/>
      <w:r>
        <w:t>.</w:t>
      </w:r>
    </w:p>
    <w:p w:rsidR="00EE2C51" w:rsidRDefault="00EE2C51">
      <w:pPr>
        <w:pStyle w:val="ConsPlusNormal"/>
        <w:ind w:firstLine="540"/>
        <w:jc w:val="both"/>
      </w:pPr>
      <w:r>
        <w:t xml:space="preserve">17.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заседания Совета директоров Банка России от 17 июля 2015 года N 21) вступает в силу со дня вступления в силу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29 июля 2015 года N 121н "О признании утратившими силу некоторых приказов Министерства финансов Российской Федерации".</w:t>
      </w:r>
    </w:p>
    <w:p w:rsidR="00EE2C51" w:rsidRDefault="00EE2C51">
      <w:pPr>
        <w:pStyle w:val="ConsPlusNormal"/>
        <w:ind w:firstLine="540"/>
        <w:jc w:val="both"/>
      </w:pPr>
      <w:r>
        <w:t>18. Страховые организации должны привести нормативное соотношение собственных средств (капитала) и принятых обязательств в соответствие с настоящим Указанием в течение 30 календарных дней со дня вступления в силу настоящего Указания.</w:t>
      </w:r>
    </w:p>
    <w:p w:rsidR="00EE2C51" w:rsidRDefault="00EE2C51">
      <w:pPr>
        <w:pStyle w:val="ConsPlusNormal"/>
        <w:ind w:firstLine="540"/>
        <w:jc w:val="both"/>
      </w:pPr>
      <w:r>
        <w:t xml:space="preserve">19. При расчете первого показателя, предусмотренного </w:t>
      </w:r>
      <w:hyperlink w:anchor="P132" w:history="1">
        <w:r>
          <w:rPr>
            <w:color w:val="0000FF"/>
          </w:rPr>
          <w:t>подпунктом 12.1 пункта 12</w:t>
        </w:r>
      </w:hyperlink>
      <w:r>
        <w:t xml:space="preserve"> настоящего Указания, сумма страховых премий (взносов), начисленная до 1 января 2017 года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уменьшается на сумму страховых премий (взносов), возвращенных страхователям (перестрахователям) в связи с расторжением (изменением условий) соответствующих договоров страхования, </w:t>
      </w:r>
      <w:proofErr w:type="spellStart"/>
      <w:r>
        <w:t>сострахования</w:t>
      </w:r>
      <w:proofErr w:type="spellEnd"/>
      <w:r>
        <w:t xml:space="preserve"> и договоров, принятых в перестрахование, в данном расчетном периоде.</w:t>
      </w:r>
    </w:p>
    <w:p w:rsidR="00EE2C51" w:rsidRDefault="00EE2C51">
      <w:pPr>
        <w:pStyle w:val="ConsPlusNormal"/>
        <w:jc w:val="both"/>
      </w:pPr>
      <w:r>
        <w:t xml:space="preserve">(п. 19 введен </w:t>
      </w:r>
      <w:hyperlink r:id="rId51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  <w:r>
        <w:t xml:space="preserve">20. При расчете второго показателя, предусмотренного </w:t>
      </w:r>
      <w:hyperlink w:anchor="P138" w:history="1">
        <w:r>
          <w:rPr>
            <w:color w:val="0000FF"/>
          </w:rPr>
          <w:t>подпунктом 12.2 пункта 12</w:t>
        </w:r>
      </w:hyperlink>
      <w:r>
        <w:t xml:space="preserve"> настоящего Указания, под страховыми резервами по страхованию иному, чем страхование жизни, на даты, предшествующие 1 января 2017 года, понимаются страховые резервы, рассчитанные в соответствии с положением о формировании страховых резервов, действующим на соответствующие даты.</w:t>
      </w:r>
    </w:p>
    <w:p w:rsidR="00EE2C51" w:rsidRDefault="00EE2C51">
      <w:pPr>
        <w:pStyle w:val="ConsPlusNormal"/>
        <w:jc w:val="both"/>
      </w:pPr>
      <w:r>
        <w:t xml:space="preserve">(п. 20 введен </w:t>
      </w:r>
      <w:hyperlink r:id="rId52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Normal"/>
        <w:jc w:val="right"/>
      </w:pPr>
      <w:r>
        <w:t>Председатель Центрального банка</w:t>
      </w:r>
    </w:p>
    <w:p w:rsidR="00EE2C51" w:rsidRDefault="00EE2C51">
      <w:pPr>
        <w:pStyle w:val="ConsPlusNormal"/>
        <w:jc w:val="right"/>
      </w:pPr>
      <w:r>
        <w:t>Российской Федерации</w:t>
      </w:r>
    </w:p>
    <w:p w:rsidR="00EE2C51" w:rsidRDefault="00EE2C51">
      <w:pPr>
        <w:pStyle w:val="ConsPlusNormal"/>
        <w:jc w:val="right"/>
      </w:pPr>
      <w:r>
        <w:t>Э.С.НАБИУЛЛИНА</w:t>
      </w: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Normal"/>
        <w:ind w:firstLine="540"/>
        <w:jc w:val="both"/>
      </w:pPr>
    </w:p>
    <w:p w:rsidR="00EE2C51" w:rsidRDefault="00EE2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EE2C51"/>
    <w:sectPr w:rsidR="00AF7006" w:rsidSect="00B8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1"/>
    <w:rsid w:val="00C83CDA"/>
    <w:rsid w:val="00EE2C51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DFA1-A85D-444C-83F3-CBF791A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35CE604BD354DA92AFB5B71ED9A4B6B2141670E66A1E0E0920B641F007737CEBA3818D22D9BA2iFY9H" TargetMode="External"/><Relationship Id="rId18" Type="http://schemas.openxmlformats.org/officeDocument/2006/relationships/hyperlink" Target="consultantplus://offline/ref=0EA35CE604BD354DA92AFB5B71ED9A4B6B2141670E66A1E0E0920B641F007737CEBA3818D22D9BA0iFYDH" TargetMode="External"/><Relationship Id="rId26" Type="http://schemas.openxmlformats.org/officeDocument/2006/relationships/hyperlink" Target="consultantplus://offline/ref=0EA35CE604BD354DA92AFB5B71ED9A4B6B2141670E66A1E0E0920B641F007737CEBA3818D22D9BA0iFYDH" TargetMode="External"/><Relationship Id="rId39" Type="http://schemas.openxmlformats.org/officeDocument/2006/relationships/hyperlink" Target="consultantplus://offline/ref=0EA35CE604BD354DA92AFB5B71ED9A4B6B2043670460A1E0E0920B641F007737CEBA381CD1i2Y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A35CE604BD354DA92AFB5B71ED9A4B6B2141670E66A1E0E0920B641F007737CEBA3818D22D9BA2iFY2H" TargetMode="External"/><Relationship Id="rId34" Type="http://schemas.openxmlformats.org/officeDocument/2006/relationships/hyperlink" Target="consultantplus://offline/ref=0EA35CE604BD354DA92AFB5B71ED9A4B6B2141670E66A1E0E0920B641F007737CEBA3818D22D9BA1iFYEH" TargetMode="External"/><Relationship Id="rId42" Type="http://schemas.openxmlformats.org/officeDocument/2006/relationships/hyperlink" Target="consultantplus://offline/ref=0EA35CE604BD354DA92AFB5B71ED9A4B6B2043670460A1E0E0920B641F007737CEBA3818D22D99A0iFYBH" TargetMode="External"/><Relationship Id="rId47" Type="http://schemas.openxmlformats.org/officeDocument/2006/relationships/hyperlink" Target="consultantplus://offline/ref=0EA35CE604BD354DA92AFB5B71ED9A4B6B2141670E66A1E0E0920B641F007737CEBA3818D22D9BA0iFY8H" TargetMode="External"/><Relationship Id="rId50" Type="http://schemas.openxmlformats.org/officeDocument/2006/relationships/hyperlink" Target="consultantplus://offline/ref=0EA35CE604BD354DA92AFB5B71ED9A4B6828446E0064A1E0E0920B641Fi0Y0H" TargetMode="External"/><Relationship Id="rId7" Type="http://schemas.openxmlformats.org/officeDocument/2006/relationships/hyperlink" Target="consultantplus://offline/ref=0EA35CE604BD354DA92AFB5B71ED9A4B6B21426E0264A1E0E0920B641Fi0Y0H" TargetMode="External"/><Relationship Id="rId12" Type="http://schemas.openxmlformats.org/officeDocument/2006/relationships/hyperlink" Target="consultantplus://offline/ref=0EA35CE604BD354DA92AFB5B71ED9A4B6B2141670E66A1E0E0920B641F007737CEBA3818D22D9BA0iFYDH" TargetMode="External"/><Relationship Id="rId17" Type="http://schemas.openxmlformats.org/officeDocument/2006/relationships/hyperlink" Target="consultantplus://offline/ref=0EA35CE604BD354DA92AFB5B71ED9A4B6B2141670E66A1E0E0920B641F007737CEBA3818D22D9BA2iFYCH" TargetMode="External"/><Relationship Id="rId25" Type="http://schemas.openxmlformats.org/officeDocument/2006/relationships/hyperlink" Target="consultantplus://offline/ref=0EA35CE604BD354DA92AFB5B71ED9A4B6B2141670E66A1E0E0920B641F007737CEBA3818D22D9BA1iFYAH" TargetMode="External"/><Relationship Id="rId33" Type="http://schemas.openxmlformats.org/officeDocument/2006/relationships/hyperlink" Target="consultantplus://offline/ref=0EA35CE604BD354DA92AFB5B71ED9A4B6B2141670E66A1E0E0920B641F007737CEBA3818D22D9BA0iFYDH" TargetMode="External"/><Relationship Id="rId38" Type="http://schemas.openxmlformats.org/officeDocument/2006/relationships/hyperlink" Target="consultantplus://offline/ref=0EA35CE604BD354DA92AFB5B71ED9A4B6B2141670E66A1E0E0920B641F007737CEBA3818D22D9BA1iFYCH" TargetMode="External"/><Relationship Id="rId46" Type="http://schemas.openxmlformats.org/officeDocument/2006/relationships/hyperlink" Target="consultantplus://offline/ref=0EA35CE604BD354DA92AFB5B71ED9A4B6B2141670E66A1E0E0920B641F007737CEBA3818D22D9BA0iFY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35CE604BD354DA92AFB5B71ED9A4B6B2141670E66A1E0E0920B641F007737CEBA3818D22D9BA0iFYDH" TargetMode="External"/><Relationship Id="rId20" Type="http://schemas.openxmlformats.org/officeDocument/2006/relationships/hyperlink" Target="consultantplus://offline/ref=0EA35CE604BD354DA92AFB5B71ED9A4B6B2141670E66A1E0E0920B641F007737CEBA3818D22D9BA0iFYDH" TargetMode="External"/><Relationship Id="rId29" Type="http://schemas.openxmlformats.org/officeDocument/2006/relationships/hyperlink" Target="consultantplus://offline/ref=0EA35CE604BD354DA92AFB5B71ED9A4B6B204B6A0162A1E0E0920B641Fi0Y0H" TargetMode="External"/><Relationship Id="rId41" Type="http://schemas.openxmlformats.org/officeDocument/2006/relationships/image" Target="media/image2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35CE604BD354DA92AFB5B71ED9A4B6B2141670E66A1E0E0920B641F007737CEBA3818D22D9BA3iFYDH" TargetMode="External"/><Relationship Id="rId11" Type="http://schemas.openxmlformats.org/officeDocument/2006/relationships/hyperlink" Target="consultantplus://offline/ref=0EA35CE604BD354DA92AFB5B71ED9A4B6B2141670E66A1E0E0920B641F007737CEBA3818D22D9BA2iFY8H" TargetMode="External"/><Relationship Id="rId24" Type="http://schemas.openxmlformats.org/officeDocument/2006/relationships/hyperlink" Target="consultantplus://offline/ref=0EA35CE604BD354DA92AFB5B71ED9A4B6B2141670E66A1E0E0920B641F007737CEBA3818D22D9BA0iFYDH" TargetMode="External"/><Relationship Id="rId32" Type="http://schemas.openxmlformats.org/officeDocument/2006/relationships/hyperlink" Target="consultantplus://offline/ref=0EA35CE604BD354DA92AFB5B71ED9A4B6B2141670E66A1E0E0920B641F007737CEBA3818D22D9BA1iFY9H" TargetMode="External"/><Relationship Id="rId37" Type="http://schemas.openxmlformats.org/officeDocument/2006/relationships/hyperlink" Target="consultantplus://offline/ref=0EA35CE604BD354DA92AFB5B71ED9A4B6B2141670E66A1E0E0920B641F007737CEBA3818D22D9BA0iFYDH" TargetMode="External"/><Relationship Id="rId40" Type="http://schemas.openxmlformats.org/officeDocument/2006/relationships/image" Target="media/image1.wmf"/><Relationship Id="rId45" Type="http://schemas.openxmlformats.org/officeDocument/2006/relationships/hyperlink" Target="consultantplus://offline/ref=0EA35CE604BD354DA92AFB5B71ED9A4B6B2141670E66A1E0E0920B641F007737CEBA3818D22D9BA0iFYB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EA35CE604BD354DA92AFB5B71ED9A4B6B2043670460A1E0E0920B641F007737CEBA381CD1i2Y9H" TargetMode="External"/><Relationship Id="rId15" Type="http://schemas.openxmlformats.org/officeDocument/2006/relationships/hyperlink" Target="consultantplus://offline/ref=0EA35CE604BD354DA92AFB5B71ED9A4B6B2141670E66A1E0E0920B641F007737CEBA3818D22D9BA2iFYFH" TargetMode="External"/><Relationship Id="rId23" Type="http://schemas.openxmlformats.org/officeDocument/2006/relationships/hyperlink" Target="consultantplus://offline/ref=0EA35CE604BD354DA92AFB5B71ED9A4B6B2141670E66A1E0E0920B641F007737CEBA3818D22D9BA2iFY3H" TargetMode="External"/><Relationship Id="rId28" Type="http://schemas.openxmlformats.org/officeDocument/2006/relationships/hyperlink" Target="consultantplus://offline/ref=0EA35CE604BD354DA92AFB5B71ED9A4B6B2141670E66A1E0E0920B641F007737CEBA3818D22D9BA0iFYDH" TargetMode="External"/><Relationship Id="rId36" Type="http://schemas.openxmlformats.org/officeDocument/2006/relationships/hyperlink" Target="consultantplus://offline/ref=0EA35CE604BD354DA92AFB5B71ED9A4B6B2141670E66A1E0E0920B641F007737CEBA3818D22D9BA1iFYFH" TargetMode="External"/><Relationship Id="rId49" Type="http://schemas.openxmlformats.org/officeDocument/2006/relationships/hyperlink" Target="consultantplus://offline/ref=0EA35CE604BD354DA92AFB5B71ED9A4B6B20426C0466A1E0E0920B641F007737CEBA3818D7i2YDH" TargetMode="External"/><Relationship Id="rId10" Type="http://schemas.openxmlformats.org/officeDocument/2006/relationships/hyperlink" Target="consultantplus://offline/ref=0EA35CE604BD354DA92AFB5B71ED9A4B6B2141670E66A1E0E0920B641F007737CEBA3818D22D9BA2iFYAH" TargetMode="External"/><Relationship Id="rId19" Type="http://schemas.openxmlformats.org/officeDocument/2006/relationships/hyperlink" Target="consultantplus://offline/ref=0EA35CE604BD354DA92AFB5B71ED9A4B6B2141670E66A1E0E0920B641F007737CEBA3818D22D9BA2iFYDH" TargetMode="External"/><Relationship Id="rId31" Type="http://schemas.openxmlformats.org/officeDocument/2006/relationships/hyperlink" Target="consultantplus://offline/ref=0EA35CE604BD354DA92AFB5B71ED9A4B6B2141670E66A1E0E0920B641F007737CEBA3818D22D9BA0iFYDH" TargetMode="External"/><Relationship Id="rId44" Type="http://schemas.openxmlformats.org/officeDocument/2006/relationships/hyperlink" Target="consultantplus://offline/ref=0EA35CE604BD354DA92AFB5B71ED9A4B6B2141670E66A1E0E0920B641F007737CEBA3818D22D9BA0iFYAH" TargetMode="External"/><Relationship Id="rId52" Type="http://schemas.openxmlformats.org/officeDocument/2006/relationships/hyperlink" Target="consultantplus://offline/ref=0EA35CE604BD354DA92AFB5B71ED9A4B6B2141670E66A1E0E0920B641F007737CEBA3818D22D9BA0iFYFH" TargetMode="External"/><Relationship Id="rId4" Type="http://schemas.openxmlformats.org/officeDocument/2006/relationships/hyperlink" Target="consultantplus://offline/ref=0EA35CE604BD354DA92AFB5B71ED9A4B6B2141670E66A1E0E0920B641F007737CEBA3818D22D9BA3iFYFH" TargetMode="External"/><Relationship Id="rId9" Type="http://schemas.openxmlformats.org/officeDocument/2006/relationships/hyperlink" Target="consultantplus://offline/ref=0EA35CE604BD354DA92AFB5B71ED9A4B6B21426C0667A1E0E0920B641Fi0Y0H" TargetMode="External"/><Relationship Id="rId14" Type="http://schemas.openxmlformats.org/officeDocument/2006/relationships/hyperlink" Target="consultantplus://offline/ref=0EA35CE604BD354DA92AFB5B71ED9A4B6B2141670E66A1E0E0920B641F007737CEBA3818D22D9BA0iFYDH" TargetMode="External"/><Relationship Id="rId22" Type="http://schemas.openxmlformats.org/officeDocument/2006/relationships/hyperlink" Target="consultantplus://offline/ref=0EA35CE604BD354DA92AFB5B71ED9A4B6B2141670E66A1E0E0920B641F007737CEBA3818D22D9BA0iFYDH" TargetMode="External"/><Relationship Id="rId27" Type="http://schemas.openxmlformats.org/officeDocument/2006/relationships/hyperlink" Target="consultantplus://offline/ref=0EA35CE604BD354DA92AFB5B71ED9A4B6B2141670E66A1E0E0920B641F007737CEBA3818D22D9BA1iFYBH" TargetMode="External"/><Relationship Id="rId30" Type="http://schemas.openxmlformats.org/officeDocument/2006/relationships/hyperlink" Target="consultantplus://offline/ref=0EA35CE604BD354DA92AFB5B71ED9A4B6B2141670E66A1E0E0920B641F007737CEBA3818D22D9BA1iFY8H" TargetMode="External"/><Relationship Id="rId35" Type="http://schemas.openxmlformats.org/officeDocument/2006/relationships/hyperlink" Target="consultantplus://offline/ref=0EA35CE604BD354DA92AFB5B71ED9A4B6B2141670E66A1E0E0920B641F007737CEBA3818D22D9BA0iFYDH" TargetMode="External"/><Relationship Id="rId43" Type="http://schemas.openxmlformats.org/officeDocument/2006/relationships/hyperlink" Target="consultantplus://offline/ref=0EA35CE604BD354DA92AFB5B71ED9A4B6B2141670E66A1E0E0920B641F007737CEBA3818D22D9BA1iFY3H" TargetMode="External"/><Relationship Id="rId48" Type="http://schemas.openxmlformats.org/officeDocument/2006/relationships/hyperlink" Target="consultantplus://offline/ref=0EA35CE604BD354DA92AFB5B71ED9A4B6B20436D0060A1E0E0920B641F007737CEBA381EiDY7H" TargetMode="External"/><Relationship Id="rId8" Type="http://schemas.openxmlformats.org/officeDocument/2006/relationships/hyperlink" Target="consultantplus://offline/ref=0EA35CE604BD354DA92AFB5B71ED9A4B6B2141670E66A1E0E0920B641F007737CEBA3818D22D9BA3iFY2H" TargetMode="External"/><Relationship Id="rId51" Type="http://schemas.openxmlformats.org/officeDocument/2006/relationships/hyperlink" Target="consultantplus://offline/ref=0EA35CE604BD354DA92AFB5B71ED9A4B6B2141670E66A1E0E0920B641F007737CEBA3818D22D9BA0iF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2017-03-24T07:24:00Z</dcterms:created>
  <dcterms:modified xsi:type="dcterms:W3CDTF">2017-03-24T07:25:00Z</dcterms:modified>
</cp:coreProperties>
</file>