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B1" w:rsidRDefault="00157AB1" w:rsidP="00157AB1">
      <w:pPr>
        <w:pStyle w:val="ConsPlusTitlePage"/>
      </w:pPr>
      <w:bookmarkStart w:id="0" w:name="_GoBack"/>
      <w:bookmarkEnd w:id="0"/>
      <w:r>
        <w:rPr>
          <w:sz w:val="22"/>
        </w:rPr>
        <w:t>Зарегистрировано в Минюсте России 9 декабря 2015 г. N 40027</w:t>
      </w:r>
    </w:p>
    <w:p w:rsidR="00157AB1" w:rsidRDefault="00157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AB1" w:rsidRDefault="00157AB1">
      <w:pPr>
        <w:pStyle w:val="ConsPlusNormal"/>
        <w:jc w:val="both"/>
      </w:pPr>
    </w:p>
    <w:p w:rsidR="00157AB1" w:rsidRDefault="00157AB1">
      <w:pPr>
        <w:pStyle w:val="ConsPlusTitle"/>
        <w:jc w:val="center"/>
      </w:pPr>
      <w:r>
        <w:t>ЦЕНТРАЛЬНЫЙ БАНК РОССИЙСКОЙ ФЕДЕРАЦИИ</w:t>
      </w:r>
    </w:p>
    <w:p w:rsidR="00157AB1" w:rsidRDefault="00157AB1">
      <w:pPr>
        <w:pStyle w:val="ConsPlusTitle"/>
        <w:jc w:val="center"/>
      </w:pPr>
    </w:p>
    <w:p w:rsidR="00157AB1" w:rsidRDefault="00157AB1">
      <w:pPr>
        <w:pStyle w:val="ConsPlusTitle"/>
        <w:jc w:val="center"/>
      </w:pPr>
      <w:r>
        <w:t>УКАЗАНИЕ</w:t>
      </w:r>
    </w:p>
    <w:p w:rsidR="00157AB1" w:rsidRDefault="00157AB1">
      <w:pPr>
        <w:pStyle w:val="ConsPlusTitle"/>
        <w:jc w:val="center"/>
      </w:pPr>
      <w:r>
        <w:t>от 16 ноября 2015 г. N 3849-У</w:t>
      </w:r>
    </w:p>
    <w:p w:rsidR="00157AB1" w:rsidRDefault="00157AB1">
      <w:pPr>
        <w:pStyle w:val="ConsPlusTitle"/>
        <w:jc w:val="center"/>
      </w:pPr>
    </w:p>
    <w:p w:rsidR="00157AB1" w:rsidRDefault="00157AB1">
      <w:pPr>
        <w:pStyle w:val="ConsPlusTitle"/>
        <w:jc w:val="center"/>
      </w:pPr>
      <w:r>
        <w:t>О ТРЕБОВАНИЯХ</w:t>
      </w:r>
    </w:p>
    <w:p w:rsidR="00157AB1" w:rsidRDefault="00157AB1">
      <w:pPr>
        <w:pStyle w:val="ConsPlusTitle"/>
        <w:jc w:val="center"/>
      </w:pPr>
      <w:r>
        <w:t>К ИНВЕСТИРОВАНИЮ ОБЪЕДИНЕНИЕМ СТРАХОВЩИКОВ СРЕДСТВ</w:t>
      </w:r>
    </w:p>
    <w:p w:rsidR="00157AB1" w:rsidRDefault="00157AB1">
      <w:pPr>
        <w:pStyle w:val="ConsPlusTitle"/>
        <w:jc w:val="center"/>
      </w:pPr>
      <w:r>
        <w:t>ФОНДА КОМПЕНСАЦИОННЫХ ВЫПЛАТ ПО СЕЛЬСКОХОЗЯЙСТВЕННОМУ</w:t>
      </w:r>
    </w:p>
    <w:p w:rsidR="00157AB1" w:rsidRDefault="00157AB1">
      <w:pPr>
        <w:pStyle w:val="ConsPlusTitle"/>
        <w:jc w:val="center"/>
      </w:pPr>
      <w:r>
        <w:t>СТРАХОВАНИЮ, ОСУЩЕСТВЛЯЕМОМУ С ГОСУДАРСТВЕННОЙ ПОДДЕРЖКОЙ</w:t>
      </w:r>
    </w:p>
    <w:p w:rsidR="00157AB1" w:rsidRDefault="00157AB1">
      <w:pPr>
        <w:pStyle w:val="ConsPlusNormal"/>
        <w:jc w:val="center"/>
      </w:pPr>
    </w:p>
    <w:p w:rsidR="00157AB1" w:rsidRDefault="00157AB1">
      <w:pPr>
        <w:pStyle w:val="ConsPlusNormal"/>
        <w:jc w:val="center"/>
      </w:pPr>
      <w:r>
        <w:t>Список изменяющих документов</w:t>
      </w:r>
    </w:p>
    <w:p w:rsidR="00157AB1" w:rsidRDefault="00157AB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Указания</w:t>
        </w:r>
      </w:hyperlink>
      <w:r>
        <w:t xml:space="preserve"> Банка России от 24.11.2016 N 4211-У)</w:t>
      </w:r>
    </w:p>
    <w:p w:rsidR="00157AB1" w:rsidRDefault="00157AB1">
      <w:pPr>
        <w:pStyle w:val="ConsPlusNormal"/>
        <w:jc w:val="center"/>
      </w:pPr>
    </w:p>
    <w:p w:rsidR="00157AB1" w:rsidRDefault="00157AB1">
      <w:pPr>
        <w:pStyle w:val="ConsPlusNormal"/>
        <w:ind w:firstLine="540"/>
        <w:jc w:val="both"/>
      </w:pPr>
      <w:r>
        <w:t xml:space="preserve">Настоящее Указание на основании </w:t>
      </w:r>
      <w:hyperlink r:id="rId5" w:history="1">
        <w:r>
          <w:rPr>
            <w:color w:val="0000FF"/>
          </w:rPr>
          <w:t>статьи 9</w:t>
        </w:r>
      </w:hyperlink>
      <w:r>
        <w:t xml:space="preserve"> Федерального закона от 25 июля 2011 года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N 50, ст. 7359; 2013, N 30, ст. 4084; 2014, N 52, ст. 7535) (далее - Закон о государственной поддержке в сфере сельскохозяйственного страхования) 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40, ст. 5318, N 45, ст. 6154; N 52, ст. 7543; 2015, N 1, ст. 4, ст. 37; N 27, ст. 3958, ст. 4001; N 29, ст. 4348, N 41, ст. 5639) устанавливает требования к инвестированию объединением страховщиков средств фонда компенсационных выплат.</w:t>
      </w:r>
    </w:p>
    <w:p w:rsidR="00157AB1" w:rsidRDefault="00157AB1">
      <w:pPr>
        <w:pStyle w:val="ConsPlusNormal"/>
        <w:ind w:firstLine="540"/>
        <w:jc w:val="both"/>
      </w:pPr>
      <w:r>
        <w:t xml:space="preserve">1. Общая стоимость активов, в которые инвестированы средства фонда компенсационных выплат, должна быть равна величине фонда компенсационных выплат, сформированного в соответствии с требованиями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о государственной поддержке в сфере сельскохозяйственного страхования.</w:t>
      </w:r>
    </w:p>
    <w:p w:rsidR="00157AB1" w:rsidRDefault="00157AB1">
      <w:pPr>
        <w:pStyle w:val="ConsPlusNormal"/>
        <w:ind w:firstLine="540"/>
        <w:jc w:val="both"/>
      </w:pPr>
      <w:r>
        <w:t>2. Активы, в которые инвестированы средства фонда компенсационных выплат, не могут являться предметом залога и (или) займа, за исключением случаев, предусмотренных законом.</w:t>
      </w:r>
    </w:p>
    <w:p w:rsidR="00157AB1" w:rsidRDefault="00157AB1">
      <w:pPr>
        <w:pStyle w:val="ConsPlusNormal"/>
        <w:ind w:firstLine="540"/>
        <w:jc w:val="both"/>
      </w:pPr>
      <w:r>
        <w:t xml:space="preserve">3. Для инвестирования средств фонда компенсационных выплат принимаются следующие виды активов с учетом требований, указанных в </w:t>
      </w:r>
      <w:hyperlink w:anchor="P27" w:history="1">
        <w:r>
          <w:rPr>
            <w:color w:val="0000FF"/>
          </w:rPr>
          <w:t>пункте 5</w:t>
        </w:r>
      </w:hyperlink>
      <w:r>
        <w:t xml:space="preserve"> настоящего Указания.</w:t>
      </w:r>
    </w:p>
    <w:p w:rsidR="00157AB1" w:rsidRDefault="00157AB1">
      <w:pPr>
        <w:pStyle w:val="ConsPlusNormal"/>
        <w:ind w:firstLine="540"/>
        <w:jc w:val="both"/>
      </w:pPr>
      <w:bookmarkStart w:id="1" w:name="P21"/>
      <w:bookmarkEnd w:id="1"/>
      <w:r>
        <w:t>3.1. Денежные средства на банковских счетах.</w:t>
      </w:r>
    </w:p>
    <w:p w:rsidR="00157AB1" w:rsidRDefault="00157AB1">
      <w:pPr>
        <w:pStyle w:val="ConsPlusNormal"/>
        <w:ind w:firstLine="540"/>
        <w:jc w:val="both"/>
      </w:pPr>
      <w:bookmarkStart w:id="2" w:name="P22"/>
      <w:bookmarkEnd w:id="2"/>
      <w:r>
        <w:t>3.2. Денежные средства, размещенные в депозиты на срок не более 90 дней.</w:t>
      </w:r>
    </w:p>
    <w:p w:rsidR="00157AB1" w:rsidRDefault="00157AB1">
      <w:pPr>
        <w:pStyle w:val="ConsPlusNormal"/>
        <w:ind w:firstLine="540"/>
        <w:jc w:val="both"/>
      </w:pPr>
      <w:r>
        <w:t xml:space="preserve">4. Активы, указанные в </w:t>
      </w:r>
      <w:hyperlink w:anchor="P21" w:history="1">
        <w:r>
          <w:rPr>
            <w:color w:val="0000FF"/>
          </w:rPr>
          <w:t>подпунктах 3.1</w:t>
        </w:r>
      </w:hyperlink>
      <w:r>
        <w:t xml:space="preserve">, </w:t>
      </w:r>
      <w:hyperlink w:anchor="P22" w:history="1">
        <w:r>
          <w:rPr>
            <w:color w:val="0000FF"/>
          </w:rPr>
          <w:t>3.2 пункта 3</w:t>
        </w:r>
      </w:hyperlink>
      <w:r>
        <w:t xml:space="preserve"> настоящего Указания, должны быть размещены в банках, удовлетворяющих следующим требованиям.</w:t>
      </w:r>
    </w:p>
    <w:p w:rsidR="00157AB1" w:rsidRDefault="00157AB1">
      <w:pPr>
        <w:pStyle w:val="ConsPlusNormal"/>
        <w:ind w:firstLine="540"/>
        <w:jc w:val="both"/>
      </w:pPr>
      <w:r>
        <w:t>4.1. Наличие у банка лицензии на осуществление банковских операций.</w:t>
      </w:r>
    </w:p>
    <w:p w:rsidR="00157AB1" w:rsidRDefault="00157AB1">
      <w:pPr>
        <w:pStyle w:val="ConsPlusNormal"/>
        <w:ind w:firstLine="540"/>
        <w:jc w:val="both"/>
      </w:pPr>
      <w:r>
        <w:t>4.2. Наличие у банка собственных средств (капитала) в размере не менее пяти миллиардов рублей по состоянию на последнюю отчетную дату.</w:t>
      </w:r>
    </w:p>
    <w:p w:rsidR="00157AB1" w:rsidRDefault="00157AB1">
      <w:pPr>
        <w:pStyle w:val="ConsPlusNormal"/>
        <w:ind w:firstLine="540"/>
        <w:jc w:val="both"/>
      </w:pPr>
      <w:r>
        <w:t xml:space="preserve">4.3. Наличие у банка кредитного рейтинга одного из рейтинговых агентств, соответствующего требованиям </w:t>
      </w:r>
      <w:hyperlink w:anchor="P27" w:history="1">
        <w:r>
          <w:rPr>
            <w:color w:val="0000FF"/>
          </w:rPr>
          <w:t>пункта 5</w:t>
        </w:r>
      </w:hyperlink>
      <w:r>
        <w:t xml:space="preserve"> настоящего Указания.</w:t>
      </w:r>
    </w:p>
    <w:p w:rsidR="00157AB1" w:rsidRDefault="00157AB1">
      <w:pPr>
        <w:pStyle w:val="ConsPlusNormal"/>
        <w:ind w:firstLine="540"/>
        <w:jc w:val="both"/>
      </w:pPr>
      <w:bookmarkStart w:id="3" w:name="P27"/>
      <w:bookmarkEnd w:id="3"/>
      <w:r>
        <w:t>5. При оценке соответствия активов требованиям настоящего Указания в части наличия у банка кредитного рейтинга уровень кредитного рейтинга должен быть не ниже верхней границы уровня, установленного Советом директоров Банка России.</w:t>
      </w:r>
    </w:p>
    <w:p w:rsidR="00157AB1" w:rsidRDefault="00157AB1">
      <w:pPr>
        <w:pStyle w:val="ConsPlusNormal"/>
        <w:jc w:val="both"/>
      </w:pPr>
      <w:r>
        <w:t xml:space="preserve">(п. 5 в ред. </w:t>
      </w:r>
      <w:hyperlink r:id="rId8" w:history="1">
        <w:r>
          <w:rPr>
            <w:color w:val="0000FF"/>
          </w:rPr>
          <w:t>Указания</w:t>
        </w:r>
      </w:hyperlink>
      <w:r>
        <w:t xml:space="preserve"> Банка России от 24.11.2016 N 4211-У)</w:t>
      </w:r>
    </w:p>
    <w:p w:rsidR="00157AB1" w:rsidRDefault="00157AB1">
      <w:pPr>
        <w:pStyle w:val="ConsPlusNormal"/>
        <w:ind w:firstLine="540"/>
        <w:jc w:val="both"/>
      </w:pPr>
      <w:r>
        <w:t xml:space="preserve">6. Максимальная сумма активов, указанных в </w:t>
      </w:r>
      <w:hyperlink w:anchor="P21" w:history="1">
        <w:r>
          <w:rPr>
            <w:color w:val="0000FF"/>
          </w:rPr>
          <w:t>подпунктах 3.1</w:t>
        </w:r>
      </w:hyperlink>
      <w:r>
        <w:t xml:space="preserve">, </w:t>
      </w:r>
      <w:hyperlink w:anchor="P22" w:history="1">
        <w:r>
          <w:rPr>
            <w:color w:val="0000FF"/>
          </w:rPr>
          <w:t>3.2 пункта 3</w:t>
        </w:r>
      </w:hyperlink>
      <w:r>
        <w:t xml:space="preserve"> настоящего </w:t>
      </w:r>
      <w:r>
        <w:lastRenderedPageBreak/>
        <w:t>Указания, размещенных в одном банке, не должна превышать 25 процентов от суммарной величины фонда компенсационных выплат.</w:t>
      </w:r>
    </w:p>
    <w:p w:rsidR="00157AB1" w:rsidRDefault="00157AB1">
      <w:pPr>
        <w:pStyle w:val="ConsPlusNormal"/>
        <w:ind w:firstLine="540"/>
        <w:jc w:val="both"/>
      </w:pPr>
      <w:r>
        <w:t>7. Настоящее Указание подлежит официальному опубликованию в "Вестнике Банка России" и в соответствии с решением Совета директоров Банка России (протокол заседания Совета директоров Банка России от 30 октября 2015 года N 31) вступает в силу с 1 января 2016 года.</w:t>
      </w:r>
    </w:p>
    <w:p w:rsidR="00157AB1" w:rsidRDefault="00157AB1">
      <w:pPr>
        <w:pStyle w:val="ConsPlusNormal"/>
        <w:ind w:firstLine="540"/>
        <w:jc w:val="both"/>
      </w:pPr>
      <w:r>
        <w:t>8. Объединению страховщиков необходимо привести состав активов, в которые инвестированы средства фонда компенсационных выплат, в соответствие с настоящим Указанием в течение 20 календарных дней со дня вступления в силу настоящего Указания.</w:t>
      </w:r>
    </w:p>
    <w:p w:rsidR="00157AB1" w:rsidRDefault="00157AB1">
      <w:pPr>
        <w:pStyle w:val="ConsPlusNormal"/>
        <w:jc w:val="both"/>
      </w:pPr>
    </w:p>
    <w:p w:rsidR="00157AB1" w:rsidRDefault="00157AB1">
      <w:pPr>
        <w:pStyle w:val="ConsPlusNormal"/>
        <w:jc w:val="right"/>
      </w:pPr>
      <w:r>
        <w:t>Председатель Центрального банка</w:t>
      </w:r>
    </w:p>
    <w:p w:rsidR="00157AB1" w:rsidRDefault="00157AB1">
      <w:pPr>
        <w:pStyle w:val="ConsPlusNormal"/>
        <w:jc w:val="right"/>
      </w:pPr>
      <w:r>
        <w:t>Российской Федерации</w:t>
      </w:r>
    </w:p>
    <w:p w:rsidR="00157AB1" w:rsidRDefault="00157AB1">
      <w:pPr>
        <w:pStyle w:val="ConsPlusNormal"/>
        <w:jc w:val="right"/>
      </w:pPr>
      <w:r>
        <w:t>Э.С.НАБИУЛЛИНА</w:t>
      </w:r>
    </w:p>
    <w:p w:rsidR="00157AB1" w:rsidRDefault="00157AB1">
      <w:pPr>
        <w:pStyle w:val="ConsPlusNormal"/>
        <w:jc w:val="both"/>
      </w:pPr>
    </w:p>
    <w:p w:rsidR="00157AB1" w:rsidRDefault="00157AB1">
      <w:pPr>
        <w:pStyle w:val="ConsPlusNormal"/>
        <w:jc w:val="both"/>
      </w:pPr>
    </w:p>
    <w:p w:rsidR="00157AB1" w:rsidRDefault="00157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006" w:rsidRDefault="00157AB1"/>
    <w:sectPr w:rsidR="00AF7006" w:rsidSect="0074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B1"/>
    <w:rsid w:val="00157AB1"/>
    <w:rsid w:val="00C83CDA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1471-1B91-4ED4-87F9-5EEDB04B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FF9C7E772699A4EFCDF8820CFFBB73705418A4D8458509D4DA8BA0045146FAD9C30864F8EA6A053w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FF9C7E772699A4EFCDF8820CFFBB7370441894F8558509D4DA8BA0045146FAD9C308154w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FF9C7E772699A4EFCDF8820CFFBB73704438A4A8658509D4DA8BA0045146FAD9C30844D58wAO" TargetMode="External"/><Relationship Id="rId5" Type="http://schemas.openxmlformats.org/officeDocument/2006/relationships/hyperlink" Target="consultantplus://offline/ref=520FF9C7E772699A4EFCDF8820CFFBB7370441894F8558509D4DA8BA0045146FAD9C308454wC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20FF9C7E772699A4EFCDF8820CFFBB73705418A4D8458509D4DA8BA0045146FAD9C30864F8EA6A053wB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2017-01-19T14:48:00Z</dcterms:created>
  <dcterms:modified xsi:type="dcterms:W3CDTF">2017-01-19T14:49:00Z</dcterms:modified>
</cp:coreProperties>
</file>