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5A" w:rsidRDefault="002D415A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2D415A" w:rsidRDefault="002D415A">
      <w:pPr>
        <w:pStyle w:val="ConsPlusNormal"/>
        <w:outlineLvl w:val="0"/>
      </w:pPr>
      <w:r>
        <w:t>Зарегистрировано в Минюсте России 11 мая 2017 г. N 46680</w:t>
      </w:r>
    </w:p>
    <w:p w:rsidR="002D415A" w:rsidRDefault="002D4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15A" w:rsidRDefault="002D415A">
      <w:pPr>
        <w:pStyle w:val="ConsPlusNormal"/>
        <w:ind w:firstLine="540"/>
        <w:jc w:val="both"/>
      </w:pPr>
    </w:p>
    <w:p w:rsidR="002D415A" w:rsidRDefault="002D415A">
      <w:pPr>
        <w:pStyle w:val="ConsPlusTitle"/>
        <w:jc w:val="center"/>
      </w:pPr>
      <w:r>
        <w:t>ЦЕНТРАЛЬНЫЙ БАНК РОССИЙСКОЙ ФЕДЕРАЦИИ</w:t>
      </w:r>
    </w:p>
    <w:p w:rsidR="002D415A" w:rsidRDefault="002D415A">
      <w:pPr>
        <w:pStyle w:val="ConsPlusTitle"/>
        <w:jc w:val="center"/>
      </w:pPr>
    </w:p>
    <w:p w:rsidR="002D415A" w:rsidRDefault="002D415A">
      <w:pPr>
        <w:pStyle w:val="ConsPlusTitle"/>
        <w:jc w:val="center"/>
      </w:pPr>
      <w:r>
        <w:t>УКАЗАНИЕ</w:t>
      </w:r>
    </w:p>
    <w:p w:rsidR="002D415A" w:rsidRDefault="002D415A">
      <w:pPr>
        <w:pStyle w:val="ConsPlusTitle"/>
        <w:jc w:val="center"/>
      </w:pPr>
      <w:r>
        <w:t>от 22 февраля 2017 г. N 4297-У</w:t>
      </w:r>
    </w:p>
    <w:p w:rsidR="002D415A" w:rsidRDefault="002D415A">
      <w:pPr>
        <w:pStyle w:val="ConsPlusTitle"/>
        <w:jc w:val="center"/>
      </w:pPr>
    </w:p>
    <w:p w:rsidR="002D415A" w:rsidRDefault="002D415A">
      <w:pPr>
        <w:pStyle w:val="ConsPlusTitle"/>
        <w:jc w:val="center"/>
      </w:pPr>
      <w:r>
        <w:t>О ПОРЯДКЕ</w:t>
      </w:r>
    </w:p>
    <w:p w:rsidR="002D415A" w:rsidRDefault="002D415A">
      <w:pPr>
        <w:pStyle w:val="ConsPlusTitle"/>
        <w:jc w:val="center"/>
      </w:pPr>
      <w:r>
        <w:t>ИНВЕСТИРОВАНИЯ СРЕДСТВ СТРАХОВЫХ РЕЗЕРВОВ И ПЕРЕЧНЕ</w:t>
      </w:r>
    </w:p>
    <w:p w:rsidR="002D415A" w:rsidRDefault="002D415A">
      <w:pPr>
        <w:pStyle w:val="ConsPlusTitle"/>
        <w:jc w:val="center"/>
      </w:pPr>
      <w:r>
        <w:t>РАЗРЕШЕННЫХ ДЛЯ ИНВЕСТИРОВАНИЯ АКТИВОВ</w:t>
      </w:r>
    </w:p>
    <w:p w:rsidR="002D415A" w:rsidRDefault="002D415A">
      <w:pPr>
        <w:pStyle w:val="ConsPlusNormal"/>
        <w:jc w:val="center"/>
      </w:pPr>
    </w:p>
    <w:p w:rsidR="002D415A" w:rsidRDefault="002D415A">
      <w:pPr>
        <w:pStyle w:val="ConsPlusNormal"/>
        <w:jc w:val="center"/>
      </w:pPr>
      <w:r>
        <w:t>Список изменяющих документов</w:t>
      </w:r>
    </w:p>
    <w:p w:rsidR="002D415A" w:rsidRDefault="002D415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Указания</w:t>
        </w:r>
      </w:hyperlink>
      <w:r>
        <w:t xml:space="preserve"> Банка России от 20.06.2017 N 4423-У)</w:t>
      </w:r>
    </w:p>
    <w:p w:rsidR="002D415A" w:rsidRDefault="002D415A">
      <w:pPr>
        <w:pStyle w:val="ConsPlusNormal"/>
        <w:jc w:val="center"/>
      </w:pPr>
    </w:p>
    <w:p w:rsidR="002D415A" w:rsidRDefault="002D415A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5" w:history="1">
        <w:r>
          <w:rPr>
            <w:color w:val="0000FF"/>
          </w:rPr>
          <w:t>статьи 26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N 30, ст. 4224; N 45, ст. 6154; 2015, N 10, ст. 1409; N 27, ст. 3946, ст. 4001; N 29, ст. 4357, ст. 4385; N 48, ст. 6715; 2016, N 1, ст. 52; N 22, ст. 3094; N 26, ст. 3863, ст. 3891; N 27, ст. 4225, ст. 4294, ст. 4296) (далее - Закон Российской Федерации "Об организации страхового дела в Российской Федерации"), </w:t>
      </w:r>
      <w:hyperlink r:id="rId6" w:history="1">
        <w:r>
          <w:rPr>
            <w:color w:val="0000FF"/>
          </w:rPr>
          <w:t>статьи 20</w:t>
        </w:r>
      </w:hyperlink>
      <w:r>
        <w:t xml:space="preserve"> Федерального закона от 29 ноября 2007 года N 286-ФЗ "О взаимном страховании" (Собрание законодательства Российской Федерации, 2007, N 49, ст. 6047; 2012, N 53, ст. 7619; 2013, N 30, ст. 4084; 2014, N 45, ст. 6154; 2015, N 29, ст. 4362; 2016, N 22, ст. 3094; N 27, ст. 4225) и в соответствии с решением Совета директоров Банка России (протокол заседания Совета директоров Банка России от 20 февраля 2017 года N 4) устанавливает перечень разрешенных для инвестирования активов и порядок инвестирования средств страховых резервов, предусматривающий требования к эмитентам ценных бумаг или выпускам ценных бумаг в зависимости от присвоения кредитных рейтингов, включения в котировальные списки организаторами торговли на рынке ценных бумаг, к структуре активов, в которые допускается размещение средств страховых резервов (в том числе требования,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резервов).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1. Общая стоимость активов, в которые инвестированы средства страховых резервов, должна быть равна суммарной величине страховых резервов страховщика с учетом требований настоящего пункта.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Для страховщиков (кроме страховщиков, осуществляющих обязательное страхование гражданской ответственности владельцев транспортных средств) величина страховых резервов, средства которых инвестируются в соответствии с настоящим Указанием, определяется как сумма страховых резервов, формируемых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Банка России от 16 ноября 2016 года N 557-П "О правилах формирования страховых резервов по страхованию жизни", зарегистрированным Министерством юстиции Российской Федерации 29 декабря 2016 года N 45055 (далее - Положение Банка России N 557-П),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Банка России от 16 ноября 2016 года N 558-П "О правилах формирования страховых резервов по страхованию иному, чем страхование жизни", зарегистрированным Министерством юстиции Российской Федерации 29 декабря 2016 года N 45054 (далее - Положение Банка России N 558-П).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lastRenderedPageBreak/>
        <w:t>Для страховщиков, осуществляющих обязательное страхование гражданской ответственности владельцев транспортных средств, величина страховых резервов, средства которых инвестируются в соответствии с настоящим Указанием, определяется по одной из следующих формул:</w:t>
      </w:r>
    </w:p>
    <w:p w:rsidR="002D415A" w:rsidRDefault="002D415A">
      <w:pPr>
        <w:pStyle w:val="ConsPlusNormal"/>
        <w:ind w:firstLine="540"/>
        <w:jc w:val="both"/>
      </w:pPr>
    </w:p>
    <w:p w:rsidR="002D415A" w:rsidRDefault="002D415A">
      <w:pPr>
        <w:pStyle w:val="ConsPlusNormal"/>
        <w:ind w:firstLine="540"/>
        <w:jc w:val="both"/>
      </w:pPr>
      <w:r>
        <w:t>СР</w:t>
      </w:r>
      <w:r>
        <w:rPr>
          <w:vertAlign w:val="subscript"/>
        </w:rPr>
        <w:t>ОСАГО</w:t>
      </w:r>
      <w:r>
        <w:t xml:space="preserve"> = СР - (ДЗ - КЗ) при условии </w:t>
      </w:r>
      <w:proofErr w:type="gramStart"/>
      <w:r>
        <w:t>СТ &gt;</w:t>
      </w:r>
      <w:proofErr w:type="gramEnd"/>
      <w:r>
        <w:t xml:space="preserve"> (ДЗ - КЗ) &gt; 0,</w:t>
      </w:r>
    </w:p>
    <w:p w:rsidR="002D415A" w:rsidRDefault="002D415A">
      <w:pPr>
        <w:pStyle w:val="ConsPlusNormal"/>
        <w:ind w:firstLine="540"/>
        <w:jc w:val="both"/>
      </w:pPr>
    </w:p>
    <w:p w:rsidR="002D415A" w:rsidRDefault="002D415A">
      <w:pPr>
        <w:pStyle w:val="ConsPlusNormal"/>
        <w:ind w:firstLine="540"/>
        <w:jc w:val="both"/>
      </w:pPr>
      <w:r>
        <w:t>СР</w:t>
      </w:r>
      <w:r>
        <w:rPr>
          <w:vertAlign w:val="subscript"/>
        </w:rPr>
        <w:t>ОСАГО</w:t>
      </w:r>
      <w:r>
        <w:t xml:space="preserve"> = СР - СТ при условии </w:t>
      </w:r>
      <w:proofErr w:type="gramStart"/>
      <w:r>
        <w:t xml:space="preserve">СТ </w:t>
      </w:r>
      <w:r w:rsidRPr="00762800">
        <w:rPr>
          <w:position w:val="-4"/>
        </w:rPr>
        <w:pict>
          <v:shape id="_x0000_i1025" style="width:11pt;height:13pt" coordsize="" o:spt="100" adj="0,,0" path="" filled="f" stroked="f">
            <v:stroke joinstyle="miter"/>
            <v:imagedata r:id="rId9" o:title="base_1_220015_3"/>
            <v:formulas/>
            <v:path o:connecttype="segments"/>
          </v:shape>
        </w:pict>
      </w:r>
      <w:r>
        <w:t xml:space="preserve"> (</w:t>
      </w:r>
      <w:proofErr w:type="gramEnd"/>
      <w:r>
        <w:t xml:space="preserve">ДЗ - КЗ) и (ДЗ - КЗ) </w:t>
      </w:r>
      <w:r w:rsidRPr="00762800">
        <w:rPr>
          <w:position w:val="-4"/>
        </w:rPr>
        <w:pict>
          <v:shape id="_x0000_i1026" style="width:10pt;height:13pt" coordsize="" o:spt="100" adj="0,,0" path="" filled="f" stroked="f">
            <v:stroke joinstyle="miter"/>
            <v:imagedata r:id="rId10" o:title="base_1_220015_4"/>
            <v:formulas/>
            <v:path o:connecttype="segments"/>
          </v:shape>
        </w:pict>
      </w:r>
      <w:r>
        <w:t xml:space="preserve"> 0,</w:t>
      </w:r>
    </w:p>
    <w:p w:rsidR="002D415A" w:rsidRDefault="002D415A">
      <w:pPr>
        <w:pStyle w:val="ConsPlusNormal"/>
        <w:ind w:firstLine="540"/>
        <w:jc w:val="both"/>
      </w:pPr>
    </w:p>
    <w:p w:rsidR="002D415A" w:rsidRDefault="002D415A">
      <w:pPr>
        <w:pStyle w:val="ConsPlusNormal"/>
        <w:ind w:firstLine="540"/>
        <w:jc w:val="both"/>
      </w:pPr>
      <w:r>
        <w:t>СР</w:t>
      </w:r>
      <w:r>
        <w:rPr>
          <w:vertAlign w:val="subscript"/>
        </w:rPr>
        <w:t>ОСАГО</w:t>
      </w:r>
      <w:r>
        <w:t xml:space="preserve"> = СР при условии </w:t>
      </w:r>
      <w:proofErr w:type="gramStart"/>
      <w:r>
        <w:t xml:space="preserve">ДЗ </w:t>
      </w:r>
      <w:r w:rsidRPr="00762800">
        <w:rPr>
          <w:position w:val="-4"/>
        </w:rPr>
        <w:pict>
          <v:shape id="_x0000_i1027" style="width:11pt;height:13pt" coordsize="" o:spt="100" adj="0,,0" path="" filled="f" stroked="f">
            <v:stroke joinstyle="miter"/>
            <v:imagedata r:id="rId9" o:title="base_1_220015_5"/>
            <v:formulas/>
            <v:path o:connecttype="segments"/>
          </v:shape>
        </w:pict>
      </w:r>
      <w:r>
        <w:t xml:space="preserve"> КЗ</w:t>
      </w:r>
      <w:proofErr w:type="gramEnd"/>
      <w:r>
        <w:t>,</w:t>
      </w:r>
    </w:p>
    <w:p w:rsidR="002D415A" w:rsidRDefault="002D415A">
      <w:pPr>
        <w:pStyle w:val="ConsPlusNormal"/>
        <w:ind w:firstLine="540"/>
        <w:jc w:val="both"/>
      </w:pPr>
    </w:p>
    <w:p w:rsidR="002D415A" w:rsidRDefault="002D415A">
      <w:pPr>
        <w:pStyle w:val="ConsPlusNormal"/>
        <w:ind w:firstLine="540"/>
        <w:jc w:val="both"/>
      </w:pPr>
      <w:r>
        <w:t>где: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СР</w:t>
      </w:r>
      <w:r>
        <w:rPr>
          <w:vertAlign w:val="subscript"/>
        </w:rPr>
        <w:t>ОСАГО</w:t>
      </w:r>
      <w:r>
        <w:t xml:space="preserve"> - величина страховых резервов, средства которых инвестируются в соответствии с настоящим Указанием, для страховщиков, осуществляющих обязательное страхование гражданской ответственности владельцев транспортных средств;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СР - суммарная величина страховых резервов по страхованию жизни и страхованию иному, чем страхование жизни, сформированных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Банка России N 557-П и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Банка России N 558-П;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СТ - страховой резерв для компенсации расходов на осуществление страховых выплат и прямое возмещение убытков в последующие периоды (стабилизационный резерв по обязательному страхованию гражданской ответственности владельцев транспортных средств), сформированный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Банка России N 558-П;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ДЗ - дебиторская задолженность страховщиков, возникшая в результате расчетов по прямому возмещению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КЗ - кредиторская задолженность, возникшая в результате расчетов со страховщиками по прямому возмещению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2. Инвестирование средств страховых резервов в актив (часть актива), в который инвестированы собственные средства (капитал) страховщика, не допускается.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3. Стоимость активов, в которые инвестированы средства страховых резервов, определяется на расчетную дату в оценке по данным бухгалтерского учета, если иное не установлено законодательством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4. По запросам Банка России или его территориальных учреждений информация об активах, в которые инвестированы средства страховых резервов, позволяющая проверить выполнение требований настоящего Указания, определяется на дату, указанную в запросах. Если для подтверждения выполнения структурных соотношений по указанному запросу невозможно рассчитать какой-либо из страховых резервов в связи с тем, что порядок расчета не позволяет определить его величину на указанную в запросе дату, он принимается равным его величине на ближайшую дату, на которую его возможно рассчитать.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5. Активы, в которые инвестированы средства страховых резервов, не могут являться предметом залога.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6. Страховщики инвестируют средства страховых резервов в размере, указанном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Указания, в следующие виды активов с учетом требований, указанных в </w:t>
      </w:r>
      <w:hyperlink w:anchor="P54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13" w:history="1">
        <w:r>
          <w:rPr>
            <w:color w:val="0000FF"/>
          </w:rPr>
          <w:t>8</w:t>
        </w:r>
      </w:hyperlink>
      <w:r>
        <w:t xml:space="preserve"> настоящего Указания.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6.1. Государственные ценные бумаги Российской Федерации и ценные бумаги, исполнение </w:t>
      </w:r>
      <w:r>
        <w:lastRenderedPageBreak/>
        <w:t>обязательств по которым гарантировано Российской Федерацией (в том числе путем гарантирования исполнения обязательств, вытекающих из банковских гарантий и (или) поручительств, обеспечивающих исполнение обязательств, вытекающих из указанных ценных бумаг).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4" w:name="P39"/>
      <w:bookmarkEnd w:id="4"/>
      <w:r>
        <w:t>6.2. Государственные ценные бумаги субъектов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5" w:name="P40"/>
      <w:bookmarkEnd w:id="5"/>
      <w:r>
        <w:t>6.3. Муниципальные ценные бумаги.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6" w:name="P41"/>
      <w:bookmarkEnd w:id="6"/>
      <w:r>
        <w:t>6.4. Акции.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7" w:name="P42"/>
      <w:bookmarkEnd w:id="7"/>
      <w:r>
        <w:t xml:space="preserve">6.5. Облигации, не относящиеся к ценным бумагам, указанным в </w:t>
      </w:r>
      <w:hyperlink w:anchor="P38" w:history="1">
        <w:r>
          <w:rPr>
            <w:color w:val="0000FF"/>
          </w:rPr>
          <w:t>подпунктах 6.1</w:t>
        </w:r>
      </w:hyperlink>
      <w:r>
        <w:t xml:space="preserve"> - </w:t>
      </w:r>
      <w:hyperlink w:anchor="P40" w:history="1">
        <w:r>
          <w:rPr>
            <w:color w:val="0000FF"/>
          </w:rPr>
          <w:t>6.3</w:t>
        </w:r>
      </w:hyperlink>
      <w:r>
        <w:t xml:space="preserve">, </w:t>
      </w:r>
      <w:hyperlink w:anchor="P52" w:history="1">
        <w:r>
          <w:rPr>
            <w:color w:val="0000FF"/>
          </w:rPr>
          <w:t>6.15</w:t>
        </w:r>
      </w:hyperlink>
      <w:r>
        <w:t xml:space="preserve"> настоящего пункта.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8" w:name="P43"/>
      <w:bookmarkEnd w:id="8"/>
      <w:r>
        <w:t>6.6. Инвестиционные паи паевых инвестиционных фондов для страховщиков, имеющих лицензии на осуществление добровольного страхования жизни.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9" w:name="P44"/>
      <w:bookmarkEnd w:id="9"/>
      <w:r>
        <w:t>6.7. Денежные средства, размещенные в депозиты, в том числе удостоверенные депозитными сертификатами.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0" w:name="P45"/>
      <w:bookmarkEnd w:id="10"/>
      <w:r>
        <w:t>6.8. Остатки по обезличенным металлическим счетам.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1" w:name="P46"/>
      <w:bookmarkEnd w:id="11"/>
      <w:r>
        <w:t>6.9. Недвижимое имущество: здания, жилые и нежилые помещения, земельные участки.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2" w:name="P47"/>
      <w:bookmarkEnd w:id="12"/>
      <w:r>
        <w:t xml:space="preserve">6.10. Доля перестраховщиков в страховых резервах, сформированных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Банка России N 557-П и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Банка России N 558-П.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6.11. Депо премий по рискам, принятым в перестрахование.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3" w:name="P49"/>
      <w:bookmarkEnd w:id="13"/>
      <w:r>
        <w:t>6.12. Дебиторская задолженность страхователей, перестраховщиков, перестрахователей, страховщиков, страховых агентов и страховых брокеров.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6.13. Наличные денежные средства в кассе.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4" w:name="P51"/>
      <w:bookmarkEnd w:id="14"/>
      <w:r>
        <w:t>6.14. Денежные средства на банковских счетах.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5" w:name="P52"/>
      <w:bookmarkEnd w:id="15"/>
      <w:r>
        <w:t>6.15. Облигации с ипотечным покрытием, а для страховщиков, имеющих лицензию на осуществление добровольного страхования жизни, - также ипотечные сертификаты участия.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6" w:name="P53"/>
      <w:bookmarkEnd w:id="16"/>
      <w:r>
        <w:t>6.16. Займы страхователям по договорам страхования жизни.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7" w:name="P54"/>
      <w:bookmarkEnd w:id="17"/>
      <w:r>
        <w:t xml:space="preserve">7. Активы, в которые инвестированы средства страховых резервов в размере, указанном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Указания, должны соответствовать следующим условиям.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7.1. Ценные бумаги, указанные в </w:t>
      </w:r>
      <w:hyperlink w:anchor="P39" w:history="1">
        <w:r>
          <w:rPr>
            <w:color w:val="0000FF"/>
          </w:rPr>
          <w:t>подпунктах 6.2</w:t>
        </w:r>
      </w:hyperlink>
      <w:r>
        <w:t xml:space="preserve">, </w:t>
      </w:r>
      <w:hyperlink w:anchor="P40" w:history="1">
        <w:r>
          <w:rPr>
            <w:color w:val="0000FF"/>
          </w:rPr>
          <w:t>6.3</w:t>
        </w:r>
      </w:hyperlink>
      <w:r>
        <w:t xml:space="preserve">, </w:t>
      </w:r>
      <w:hyperlink w:anchor="P42" w:history="1">
        <w:r>
          <w:rPr>
            <w:color w:val="0000FF"/>
          </w:rPr>
          <w:t>6.5 пункта 6</w:t>
        </w:r>
      </w:hyperlink>
      <w:r>
        <w:t xml:space="preserve"> настоящего Указания (за исключением субординированных облигаций), относящиеся к активам, находящимся на территории Российской Федерации, должны соответствовать одному из следующих требований: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8" w:name="P56"/>
      <w:bookmarkEnd w:id="18"/>
      <w:r>
        <w:t xml:space="preserve">эмитент (выпуск) ценной бумаги либо поручитель (гарант) по таким ценным бумагам имеет кредитный рейтинг не ниже </w:t>
      </w:r>
      <w:hyperlink r:id="rId16" w:history="1">
        <w:r>
          <w:rPr>
            <w:color w:val="0000FF"/>
          </w:rPr>
          <w:t>уровня</w:t>
        </w:r>
      </w:hyperlink>
      <w:r>
        <w:t>, установленного Советом директоров Банка России;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ценные бумаги включены в котировальный список первого (высшего) уровня хотя бы одним организатором торговли на рынке ценных бумаг в Российской Федерации (российской биржей).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19" w:name="P58"/>
      <w:bookmarkEnd w:id="19"/>
      <w:r>
        <w:t xml:space="preserve">В отношении субординированных облигаций эмитент (выпуск) таких облигаций должен иметь кредитный рейтинг не ниже </w:t>
      </w:r>
      <w:hyperlink r:id="rId17" w:history="1">
        <w:r>
          <w:rPr>
            <w:color w:val="0000FF"/>
          </w:rPr>
          <w:t>уровня</w:t>
        </w:r>
      </w:hyperlink>
      <w:r>
        <w:t>, установленного Советом директоров Банка России.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Требования настоящего подпункта не распространяются на облигации, выпущенные </w:t>
      </w:r>
      <w:r>
        <w:lastRenderedPageBreak/>
        <w:t xml:space="preserve">эмитентом, являющимся концессионером по концессионному соглашению, заключенному в соответствии с законодательством Российской Федерации о концессионных соглашениях, </w:t>
      </w:r>
      <w:proofErr w:type="spellStart"/>
      <w:r>
        <w:t>концедентом</w:t>
      </w:r>
      <w:proofErr w:type="spellEnd"/>
      <w:r>
        <w:t xml:space="preserve"> по которому является Российская Федерация, либо субъект Российской Федерации, либо муниципальное образование с численностью населения более одного миллиона человек, и сумма номинальных стоимостей всех находящихся в обращении облигаций этого эмитента на каждый день не превышает 110 процентов объема инвестиций, предусмотренных всеми заключенными этим эмитентом концессионными соглашениями.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7.2. Ценные бумаги, указанные в </w:t>
      </w:r>
      <w:hyperlink w:anchor="P42" w:history="1">
        <w:r>
          <w:rPr>
            <w:color w:val="0000FF"/>
          </w:rPr>
          <w:t>подпункте 6.5 пункта 6</w:t>
        </w:r>
      </w:hyperlink>
      <w:r>
        <w:t xml:space="preserve"> настоящего Указания, в том числе иностранные финансовые инструменты, квалифицированные в качестве ценных бумаг, указанных в </w:t>
      </w:r>
      <w:hyperlink w:anchor="P42" w:history="1">
        <w:r>
          <w:rPr>
            <w:color w:val="0000FF"/>
          </w:rPr>
          <w:t>подпункте 6.5 пункта 6</w:t>
        </w:r>
      </w:hyperlink>
      <w:r>
        <w:t xml:space="preserve"> настоящего Указания,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22 апреля 1996 года N 39-ФЗ "О рынке ценных бумаг" (Собрание законодательства Российской Федерации, 1996, N 17, ст. 1918; 2001, N 33, ст. 3424; 2002, N 52, ст. 5141; 2004, N 27, ст. 2711; N 31, ст. 3225; 2005, N 11, ст. 900; N 25, ст. 2426; 2006, N 1, ст. 5; N 2, ст. 172; N 17, ст. 1780; N 31, ст. 3437; N 43, ст. 4412; 2007, N 1, ст. 45; N 18, ст. 2117; N 22, ст. 2563; N 41, ст. 4845; N 50, ст. 6247; 2008, N 52, ст. 6221; 2009, N 1, ст. 28; N 18, ст. 2154; N 23, ст. 2770; N 29, ст. 3642; N 48, ст. 5731; N 52, ст. 6428; 2010, N 17, ст. 1988; N 31, ст. 4193; N 41, ст. 5193; 2011, N 7, ст. 905; N 23, ст. 3262; N 29, ст. 4291; N 48, ст. 6728; N 49, ст. 7040; N 50, ст. 7357; 2012, N 25, ст. 3269; N 31, ст. 4334; N 53, ст. 7607; 2013, N 26, ст. 3207; N 30, ст. 4043, ст. 4082, ст. 4084; N 51, ст. 6699; N 52, ст. 6985; 2014, N 30, ст. 4219; 2015, N 1, ст. 13; N 14, ст. 2022; N 27, ст. 4001; N 29, ст. 4348, ст. 4357; 2016, N 1, ст. 50, ст. 81; N 27, ст. 4225) (далее - Федеральный закон "О рынке ценных бумаг") и отраженные в бухгалтерской (финансовой) отчетности страховщика в качестве производных финансовых инструментов, не относящиеся к активам, находящимся на территории Российской Федерации (за исключением ценных бумаг, выпущенных международными финансовыми организациями), должны соответствовать одному из следующих требований: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эмитент (выпуск) ценной бумаги либо поручитель (гарант) по таким ценным бумагам имеет кредитный рейтинг не ниже </w:t>
      </w:r>
      <w:hyperlink r:id="rId19" w:history="1">
        <w:r>
          <w:rPr>
            <w:color w:val="0000FF"/>
          </w:rPr>
          <w:t>уровня</w:t>
        </w:r>
      </w:hyperlink>
      <w:r>
        <w:t>, установленного Советом директоров Банка России;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ценные бумаги включены (или в отношении указанных ценных бумаг начата процедура листинга) в котировальный список первого (высшего) уровня хотя бы одним организатором торговли на рынке ценных бумаг в Российской Федерации (российской биржей) или в перечень листов (списков, рынков, сегментов) иностранных бирж, установленный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Банка России от 24 февраля 2016 года N 534-П "О допуске ценных бумаг к организованным торгам", зарегистрированным Министерством юстиции Российской Федерации 28 апреля 2016 года N 41964, 24 января 2017 года N 45369 (далее - Положение Банка России N 534-П), при включении в которые ценные бумаги могут включаться в первый (высший) котировальный список российских бирж.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7.3. Ценные бумаги, выпущенные международными финансовыми организациями, должны быть включены в Ломбардный список Банка России в соответствии с </w:t>
      </w:r>
      <w:hyperlink r:id="rId21" w:history="1">
        <w:r>
          <w:rPr>
            <w:color w:val="0000FF"/>
          </w:rPr>
          <w:t>Указанием</w:t>
        </w:r>
      </w:hyperlink>
      <w:r>
        <w:t xml:space="preserve"> Банка России от 10 августа 2012 года N 2861-У "О перечне ценных бумаг, входящих в Ломбардный список Банка России", зарегистрированным Министерством юстиции Российской Федерации 26 сентября 2012 года N 25541, 8 мая 2013 года N 28350, 14 ноября 2014 года N 34697, 11 декабря 2014 года N 35134, 16 января 2015 года N 35560 (далее - Указание Банка России N 2861-У).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20" w:name="P64"/>
      <w:bookmarkEnd w:id="20"/>
      <w:r>
        <w:t xml:space="preserve">7.4. Ценные бумаги, указанные в </w:t>
      </w:r>
      <w:hyperlink w:anchor="P41" w:history="1">
        <w:r>
          <w:rPr>
            <w:color w:val="0000FF"/>
          </w:rPr>
          <w:t>подпункте 6.4 пункта 6</w:t>
        </w:r>
      </w:hyperlink>
      <w:r>
        <w:t xml:space="preserve"> настоящего Указания, должны соответствовать следующим требованиям.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7.4.1. Ценные бумаги, относящиеся к активам, находящимся на территории Российской Федерации, должны быть включены в котировальный список первого (высшего) уровня хотя бы одним организатором торговли на рынке ценных бумаг в Российской Федерации (российской биржей).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7.4.2. Ценные бумаги, не относящиеся к активам, находящимся на территории Российской Федерации, должны быть включены (или в отношении указанных ценных бумаг начата процедура </w:t>
      </w:r>
      <w:r>
        <w:lastRenderedPageBreak/>
        <w:t xml:space="preserve">листинга) в котировальный список первого (высшего) уровня хотя бы одним организатором торговли на рынке ценных бумаг в Российской Федерации (российской биржей) или в перечень листов (списков, рынков, сегментов) иностранных бирж, установленный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Банка России N 534-П, при включении в которые ценные бумаги могут включаться в первый (высший) котировальный список российских бирж.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7.5. Активы, указанные в </w:t>
      </w:r>
      <w:hyperlink w:anchor="P43" w:history="1">
        <w:r>
          <w:rPr>
            <w:color w:val="0000FF"/>
          </w:rPr>
          <w:t>подпункте 6.6 пункта 6</w:t>
        </w:r>
      </w:hyperlink>
      <w:r>
        <w:t xml:space="preserve"> настоящего Указания, должны соответствовать следующим требованиям.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Инвестиционные паи открытых и интервальных паевых инвестиционных фондов должны одновременно соответствовать следующим требованиям: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стоимость чистых активов паевого инвестиционного фонда должна составлять не менее 1 миллиарда рублей на расчетную дату;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в отношении управляющей компании паевого инвестиционного фонда в течение года, предшествующего дате инвестирования средств страховых резервов, должны отсутствовать факты введения Банком России запрета на проведение всех или части операций;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информация о стоимости активов и стоимости чистых активов паевого инвестиционного фонда управляющей компании раскрывается на официальном сайте управляющей компании в информационно-телекоммуникационной сети "Интернет" на ежедневной основе по состоянию на предыдущий рабочий день и является доступной на указанном сайте не менее трех месяцев с даты ее опубликования.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7.6. Активы, указанные в </w:t>
      </w:r>
      <w:hyperlink w:anchor="P44" w:history="1">
        <w:r>
          <w:rPr>
            <w:color w:val="0000FF"/>
          </w:rPr>
          <w:t>подпунктах 6.7</w:t>
        </w:r>
      </w:hyperlink>
      <w:r>
        <w:t xml:space="preserve">, </w:t>
      </w:r>
      <w:hyperlink w:anchor="P45" w:history="1">
        <w:r>
          <w:rPr>
            <w:color w:val="0000FF"/>
          </w:rPr>
          <w:t>6.8</w:t>
        </w:r>
      </w:hyperlink>
      <w:r>
        <w:t xml:space="preserve">, </w:t>
      </w:r>
      <w:hyperlink w:anchor="P51" w:history="1">
        <w:r>
          <w:rPr>
            <w:color w:val="0000FF"/>
          </w:rPr>
          <w:t>6.14 пункта 6</w:t>
        </w:r>
      </w:hyperlink>
      <w:r>
        <w:t xml:space="preserve"> настоящего Указания (за исключением субординированных депозитов), должны быть размещены в банках, имеющих кредитные рейтинги не ниже </w:t>
      </w:r>
      <w:hyperlink r:id="rId23" w:history="1">
        <w:r>
          <w:rPr>
            <w:color w:val="0000FF"/>
          </w:rPr>
          <w:t>уровня</w:t>
        </w:r>
      </w:hyperlink>
      <w:r>
        <w:t>, установленного Советом директоров Банка России.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В отношении субординированных депозитов банки, в которых размещены такие депозиты, должны иметь кредитный рейтинг не ниже </w:t>
      </w:r>
      <w:hyperlink r:id="rId24" w:history="1">
        <w:r>
          <w:rPr>
            <w:color w:val="0000FF"/>
          </w:rPr>
          <w:t>уровня</w:t>
        </w:r>
      </w:hyperlink>
      <w:r>
        <w:t>, установленного Советом директоров Банка России.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7.7. Активы, указанные в </w:t>
      </w:r>
      <w:hyperlink w:anchor="P46" w:history="1">
        <w:r>
          <w:rPr>
            <w:color w:val="0000FF"/>
          </w:rPr>
          <w:t>подпункте 6.9 пункта 6</w:t>
        </w:r>
      </w:hyperlink>
      <w:r>
        <w:t xml:space="preserve"> настоящего Указания, должны соответствовать следующим требованиям.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7.7.1. Рыночная стоимость объекта недвижимости должна подтверждаться независимым оценщиком с периодичностью не реже одного раза в год в соответствии с законодательством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7.7.2. Средства страховых резервов инвестируются в объекты недвижимости по стоимости, не превышающей их рыночную стоимость.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7.7.3. На объект недвижимости не наложены следующие ограничения (обременения):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арест;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запрет на продажу или иное отчуждение;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рента недвижимого имущества, находящегося в индивидуальной или общей долевой собственности граждан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7.7.4. Право собственности страховщика на объекты недвижимости должно быть зарегистрировано в соответствии с законодательством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7.8. В отношении долей перестраховщиков в страховых резервах, указанных в </w:t>
      </w:r>
      <w:hyperlink w:anchor="P47" w:history="1">
        <w:r>
          <w:rPr>
            <w:color w:val="0000FF"/>
          </w:rPr>
          <w:t>подпункте 6.10 пункта 6</w:t>
        </w:r>
      </w:hyperlink>
      <w:r>
        <w:t xml:space="preserve"> настоящего Указания, перестраховщики должны соответствовать следующим </w:t>
      </w:r>
      <w:r>
        <w:lastRenderedPageBreak/>
        <w:t>требованиям.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7.8.1. Перестраховщики, являющиеся резидентами Российской Федерации, должны иметь лицензию на осуществление перестрахования и удовлетворять требованиям </w:t>
      </w:r>
      <w:hyperlink r:id="rId25" w:history="1">
        <w:r>
          <w:rPr>
            <w:color w:val="0000FF"/>
          </w:rPr>
          <w:t>статьи 25</w:t>
        </w:r>
      </w:hyperlink>
      <w:r>
        <w:t xml:space="preserve"> Закона Российской Федерации "Об организации страхового дела в Российской Федерации".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21" w:name="P84"/>
      <w:bookmarkEnd w:id="21"/>
      <w:r>
        <w:t xml:space="preserve">7.8.2. Перестраховщики, не являющиеся резидентами Российской Федерации, должны иметь право в соответствии с национальным законодательством государства, на территории которого они учреждены, осуществлять перестраховочную деятельность и иметь кредитный рейтинг не ниже </w:t>
      </w:r>
      <w:hyperlink r:id="rId26" w:history="1">
        <w:r>
          <w:rPr>
            <w:color w:val="0000FF"/>
          </w:rPr>
          <w:t>уровня</w:t>
        </w:r>
      </w:hyperlink>
      <w:r>
        <w:t>, установленного Советом директоров Банка России.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В отношении долей перестраховщиков, сформированных по договорам перестрахования, заключенным с перестраховщиками, не являющимися резидентами Российской Федерации и осуществляющими перестраховочную деятельность в составе пулов по страхованию ядерных рисков, при условии солидарной ответственности участников пула, принимающего такие риски, в рамках пула, требование </w:t>
      </w:r>
      <w:hyperlink w:anchor="P84" w:history="1">
        <w:r>
          <w:rPr>
            <w:color w:val="0000FF"/>
          </w:rPr>
          <w:t>абзаца первого</w:t>
        </w:r>
      </w:hyperlink>
      <w:r>
        <w:t xml:space="preserve"> настоящего подпункта применяется только к страховщику, осуществляющему перестраховочную деятельность от имени и за счет других участников пула.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7.9. Дебиторская задолженность страхователей, перестраховщиков, перестрахователей, страховщиков, страховых агентов и страховых брокеров, указанная в </w:t>
      </w:r>
      <w:hyperlink w:anchor="P49" w:history="1">
        <w:r>
          <w:rPr>
            <w:color w:val="0000FF"/>
          </w:rPr>
          <w:t>подпункте 6.12 пункта 6</w:t>
        </w:r>
      </w:hyperlink>
      <w:r>
        <w:t xml:space="preserve"> настоящего Указания, должна возникать в результате операций страхования, </w:t>
      </w:r>
      <w:proofErr w:type="spellStart"/>
      <w:r>
        <w:t>сострахования</w:t>
      </w:r>
      <w:proofErr w:type="spellEnd"/>
      <w:r>
        <w:t xml:space="preserve"> и перестрахования и не являться просроченной.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Срок погашения дебиторской задолженности страховых агентов не может превышать трех месяцев с момента ее возникновения.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7.10. Дебиторская задолженность страховщиков, возникшая в результате расчетов по прямому возмещению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средств, должна быть уменьшена на сумму кредиторской задолженности, возникшей в результате этих же расчетов со страховщиками.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7.11. Активы, указанные в </w:t>
      </w:r>
      <w:hyperlink w:anchor="P52" w:history="1">
        <w:r>
          <w:rPr>
            <w:color w:val="0000FF"/>
          </w:rPr>
          <w:t>подпункте 6.15 пункта 6</w:t>
        </w:r>
      </w:hyperlink>
      <w:r>
        <w:t xml:space="preserve"> настоящего Указания, должны соответствовать следующим требованиям.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7.11.1. Облигации с ипотечным покрытием должны одновременно соответствовать требованиям, установленным </w:t>
      </w:r>
      <w:hyperlink w:anchor="P9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2" w:history="1">
        <w:r>
          <w:rPr>
            <w:color w:val="0000FF"/>
          </w:rPr>
          <w:t>третьим</w:t>
        </w:r>
      </w:hyperlink>
      <w:r>
        <w:t xml:space="preserve"> настоящего подпункта, и не менее чем одному из требований, установленных </w:t>
      </w:r>
      <w:hyperlink w:anchor="P93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95" w:history="1">
        <w:r>
          <w:rPr>
            <w:color w:val="0000FF"/>
          </w:rPr>
          <w:t>шестым</w:t>
        </w:r>
      </w:hyperlink>
      <w:r>
        <w:t xml:space="preserve"> настоящего подпункта: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22" w:name="P91"/>
      <w:bookmarkEnd w:id="22"/>
      <w:r>
        <w:t>в состав ипотечного покрытия не должны входить объекты незавершенного строительства;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23" w:name="P92"/>
      <w:bookmarkEnd w:id="23"/>
      <w:r>
        <w:t>размер ипотечного покрытия на дату выпуска должен более чем в полтора раза превышать сумму обязательств по выплате номинальной стоимости выпуска (за исключением облигаций с ипотечным покрытием, эмитентом которых является кредитная организация);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24" w:name="P93"/>
      <w:bookmarkEnd w:id="24"/>
      <w:r>
        <w:t xml:space="preserve">эмитент (выпуск) ценной бумаги имеет кредитный рейтинг не ниже </w:t>
      </w:r>
      <w:hyperlink r:id="rId27" w:history="1">
        <w:r>
          <w:rPr>
            <w:color w:val="0000FF"/>
          </w:rPr>
          <w:t>уровня</w:t>
        </w:r>
      </w:hyperlink>
      <w:r>
        <w:t>, установленного Советом директоров Банка России;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25" w:name="P94"/>
      <w:bookmarkEnd w:id="25"/>
      <w:r>
        <w:t>ценные бумаги включены в котировальный список первого (высшего) уровня хотя бы одним организатором торговли на рынке ценных бумаг в Российской Федерации (российской биржей);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26" w:name="P95"/>
      <w:bookmarkEnd w:id="26"/>
      <w:r>
        <w:t>исполнение обязательств эмитента по выпуску ценных бумаг в полном объеме или частично обеспечено государственными гарантиями Российской Федерации или солидарным поручительством акционерного общества "Агентство по ипотечному жилищному кредитованию".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7.11.2. Ипотечные сертификаты участия должны одновременно соответствовать следующим </w:t>
      </w:r>
      <w:r>
        <w:lastRenderedPageBreak/>
        <w:t>требованиям: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в состав ипотечного покрытия не должны входить объекты незавершенного строительства;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в ипотечное покрытие ипотечных сертификатов участия должны входить только денежные средства или права требования, обеспеченные залогом объектов недвижимости;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договор на проведение оценки объектов недвижимости, залогом которых обеспечены права требования, входящие в состав ипотечного покрытия, заключен с юридическим лицом, которое на дату оценки заключало договоры на проведение оценки объектов недвижимости ежегодно в течение последних 10 лет и выручка </w:t>
      </w:r>
      <w:proofErr w:type="gramStart"/>
      <w:r>
        <w:t>за последний отчетный год</w:t>
      </w:r>
      <w:proofErr w:type="gramEnd"/>
      <w:r>
        <w:t xml:space="preserve"> которого от договоров на проведение оценки объектов недвижимости составляет не менее 100 миллионов рублей;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отчет о проведении оценки объекта недвижимости составлен оценщиком, в отношении которого на дату составления отчета со стороны саморегулируемых организаций оценщиков не применялись в течение двух лет в количестве двух и более раз меры дисциплинарного воздействия, предусмотренные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31, ст. 3456; 2007, N 7, ст. 834; N 29, ст. 3482; N 31, ст. 4016; 2008, N 27, ст. 3126; 2009, N 19, ст. 2281; N 29, ст. 3582; N 52, ст. 6419, ст. 6450; 2010, N 30, ст. 3998; 2011, N 1, ст. 43; N 27, ст. 3880; N 29, ст. 4291; N 48, ст. 6728; N 49, ст. 7024, ст. 7061; 2013, N 23, ст. 2871; N 27, ст. 3477; N 30, ст. 4082; 2014, N 11, ст. 1098; N 23, ст. 2928; N 26, ст. 3377; N 30, ст. 4226; 2015, N 1, ст. 52; N 10, ст. 1418; N 24, ст. 3372; N 29, ст. 4342, ст. 4350; 2016, N 1, ст. 11; N 18, ст. 2487; N 23, ст. 3296; N 26, ст. 3890; N 27, ст. 4293, ст. 4294), а также внутренними документами саморегулируемых организаций оценщиков, и стаж осуществления оценочной деятельности которого составляет не менее трех лет.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7.12. Займы, указанные в </w:t>
      </w:r>
      <w:hyperlink w:anchor="P53" w:history="1">
        <w:r>
          <w:rPr>
            <w:color w:val="0000FF"/>
          </w:rPr>
          <w:t>подпункте 6.16 пункта 6</w:t>
        </w:r>
      </w:hyperlink>
      <w:r>
        <w:t xml:space="preserve"> настоящего Указания, должны быть предоставлены в соответствии со </w:t>
      </w:r>
      <w:hyperlink r:id="rId29" w:history="1">
        <w:r>
          <w:rPr>
            <w:color w:val="0000FF"/>
          </w:rPr>
          <w:t>статьей 26</w:t>
        </w:r>
      </w:hyperlink>
      <w:r>
        <w:t xml:space="preserve"> Закона Российской Федерации "Об организации страхового дела в Российской Федерации" страхователям - физическим лицам по договорам страхования жизни, заключенным на срок не менее пяти лет, в пределах математического резерва, сформированного по договору страхования жизни, при условии их предоставления не ранее чем через два года с начала действия договора страхования жизни и на возмездной основе (с условием платы за пользование займом в размере не менее нормы доходности от размещения резерва по страхованию жизни, использованной при расчете страхового тарифа).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7.13. Средства страховых резервов не должны быть инвестированы в следующие виды активов: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ценные бумаги, эмитентами которых являются страховщики, вклады и доли в складочном или уставном капитале страховщиков;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ценные бумаги, в момент приобретения которых было известно, что в отношении их эмитентов осуществляется санация или введена процедура банкротства (наблюдение, внешнее управление, конкурсное производство) в соответствии с законодательством Российской Федерации о несостоятельности (банкротстве) либо в отношении их эмитентов такая процедура применялась в течение двух предыдущих лет;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ценные бумаги, в отношении которых заключен договор о продаже их (или иной договор, предусматривающий отчуждение их) в будущем;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ценные бумаги, отраженные в бухгалтерской (финансовой) отчетности страховщика как переданные без прекращения признания;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ценные бумаги, отраженные в бухгалтерской (финансовой) отчетности страховщика как полученные по операциям, совершаемым на возвратной основе;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lastRenderedPageBreak/>
        <w:t>дебиторская задолженность лиц, в отношении которых осуществляется санация или введена процедура банкротства (наблюдение, внешнее управление, конкурсное производство) в соответствии с законодательством Российской Федерации о несостоятельности (банкротстве);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земли сельскохозяйственного назначения;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земельные участки для индивидуального жилищного строительства;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активы, на которые наложен арест;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активы, полученные по договорам займа и (или) кредитным договорам и (или) приобретенные страховщиком за счет средств, полученных по действующим договорам займа и (или) кредитным договорам.</w:t>
      </w:r>
    </w:p>
    <w:p w:rsidR="002D415A" w:rsidRDefault="002D415A">
      <w:pPr>
        <w:pStyle w:val="ConsPlusNormal"/>
        <w:spacing w:before="220"/>
        <w:ind w:firstLine="540"/>
        <w:jc w:val="both"/>
      </w:pPr>
      <w:bookmarkStart w:id="27" w:name="P113"/>
      <w:bookmarkEnd w:id="27"/>
      <w:r>
        <w:t xml:space="preserve">8. Активы, указанные в </w:t>
      </w:r>
      <w:hyperlink w:anchor="P38" w:history="1">
        <w:r>
          <w:rPr>
            <w:color w:val="0000FF"/>
          </w:rPr>
          <w:t>подпунктах 6.1</w:t>
        </w:r>
      </w:hyperlink>
      <w:r>
        <w:t xml:space="preserve"> - </w:t>
      </w:r>
      <w:hyperlink w:anchor="P43" w:history="1">
        <w:r>
          <w:rPr>
            <w:color w:val="0000FF"/>
          </w:rPr>
          <w:t>6.6</w:t>
        </w:r>
      </w:hyperlink>
      <w:r>
        <w:t xml:space="preserve">, </w:t>
      </w:r>
      <w:hyperlink w:anchor="P46" w:history="1">
        <w:r>
          <w:rPr>
            <w:color w:val="0000FF"/>
          </w:rPr>
          <w:t>6.9</w:t>
        </w:r>
      </w:hyperlink>
      <w:r>
        <w:t xml:space="preserve">, </w:t>
      </w:r>
      <w:hyperlink w:anchor="P52" w:history="1">
        <w:r>
          <w:rPr>
            <w:color w:val="0000FF"/>
          </w:rPr>
          <w:t>6.15 пункта 6</w:t>
        </w:r>
      </w:hyperlink>
      <w:r>
        <w:t xml:space="preserve"> настоящего Указания, в которые инвестированы средства страховых резервов, должны быть полностью оплачены страховщиком денежными средствами, и должна отсутствовать задолженность страховщика по их оплате.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Требование настоящего пункта об оплате активов денежными средствами не распространяется на активы, приобретенные путем заключения сделок, совершенных на организованных торгах, и на активы, права на которые получены на безвозмездной основе.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9. В целях настоящего Указания активами, находящимися на территории Российской Федерации, являются следующие активы.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9.1. Государственные ценные бумаги Российской Федерации и ценные бумаги, исполнение обязательств по которым гарантированы Российской Федерацией (в том числе путем гарантирования исполнения обязательств, вытекающих из банковских гарантий и (или) поручительств, обеспечивающих исполнение обязательств, вытекающих из указанных ценных бумаг).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9.2. Государственные ценные бумаги субъектов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9.3. Муниципальные ценные бумаги.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9.4. Иные ценные бумаги, указанные в </w:t>
      </w:r>
      <w:hyperlink w:anchor="P41" w:history="1">
        <w:r>
          <w:rPr>
            <w:color w:val="0000FF"/>
          </w:rPr>
          <w:t>подпунктах 6.4</w:t>
        </w:r>
      </w:hyperlink>
      <w:r>
        <w:t xml:space="preserve"> - </w:t>
      </w:r>
      <w:hyperlink w:anchor="P43" w:history="1">
        <w:r>
          <w:rPr>
            <w:color w:val="0000FF"/>
          </w:rPr>
          <w:t>6.6</w:t>
        </w:r>
      </w:hyperlink>
      <w:r>
        <w:t xml:space="preserve">, </w:t>
      </w:r>
      <w:hyperlink w:anchor="P52" w:history="1">
        <w:r>
          <w:rPr>
            <w:color w:val="0000FF"/>
          </w:rPr>
          <w:t>6.15 пункта 6</w:t>
        </w:r>
      </w:hyperlink>
      <w:r>
        <w:t xml:space="preserve"> настоящего Указания и выпущенные (выданные) резидентами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9.5. Денежные средства на счетах, а также денежные средства, размещенные в депозиты, в том числе удостоверенные депозитными сертификатами, а также остатки по обезличенным металлическим счетам в банках, являющихся резидентами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9.6. Недвижимое имущество, расположенное на территории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9.7. Доля в страховых резервах, сформированных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Банка России N 557-П и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Банка России N 558-П, перестраховщиков, являющихся резидентами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9.8. Депо премий по рискам, принятым в перестрахование, у перестрахователей - резидентов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9.9. Дебиторская задолженность страхователей, перестраховщиков, перестрахователей, страховщиков, страховых агентов и страховых брокеров, являющихся резидентами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9.10. Наличные денежные средства в кассе в рублях.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lastRenderedPageBreak/>
        <w:t>9.11. Займы, выданные по договорам страхования жизни страхователям - физическим лицам, являющимся резидентами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10. Инвестирование средств страховых резервов может осуществляться страховщиком самостоятельно, а также путем передачи части средств страховых резервов в доверительное управление управляющим компаниям, являющимся резидентами Российской Федерации.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При передаче в доверительное управление средств страховых резервов страховщик должен выполнять требования, предусмотренные настоящим Указанием, а также учитывать структуру своего страхового портфеля, сроки действия договоров страхования, вероятность наступления страхового события, возможность исполнения обязанности по осуществлению страховых выплат при нахождении средств страховых резервов в доверительном управлении. Кроме того, страховщик в договоре доверительного управления предусматривает возможность безусловного изъятия части средств из доверительного управления для осуществления страховых выплат в срок не позднее конца четвертого рабочего дня с даты получения уведомления управляющей компанией.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11. Для целей соответствия активов требованиям настоящего Указания уровни (границы уровней) рейтингов и особенности их применения устанавливаются Советом директоров Банка России.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12. Активы, в которые инвестированы средства страховых резервов, должны удовлетворять требованиям, предусматривающим максимальный разрешенный процент стоимости каждого вида активов или группы активов от размера страховых резервов, определенного в соответствии с требованием </w:t>
      </w:r>
      <w:hyperlink w:anchor="P17" w:history="1">
        <w:r>
          <w:rPr>
            <w:color w:val="0000FF"/>
          </w:rPr>
          <w:t>пункта 1</w:t>
        </w:r>
      </w:hyperlink>
      <w:r>
        <w:t xml:space="preserve"> настоящего Указания, или отдельных видов страховых резервов, указанным в </w:t>
      </w:r>
      <w:hyperlink w:anchor="P162" w:history="1">
        <w:r>
          <w:rPr>
            <w:color w:val="0000FF"/>
          </w:rPr>
          <w:t>приложении</w:t>
        </w:r>
      </w:hyperlink>
      <w:r>
        <w:t xml:space="preserve"> к настоящему Указанию (далее - структурные соотношения).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13. Страховщик инвестирует средства страховых резервов в активы, перечисленные в </w:t>
      </w:r>
      <w:hyperlink w:anchor="P37" w:history="1">
        <w:r>
          <w:rPr>
            <w:color w:val="0000FF"/>
          </w:rPr>
          <w:t>пункте 6</w:t>
        </w:r>
      </w:hyperlink>
      <w:r>
        <w:t xml:space="preserve"> настоящего Указания и удовлетворяющие требованиям настоящего Указания, но не указанные в структурных соотношениях, без учета структурных соотношений.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14. Настоящее Указание не распространяется на страховые медицинские организации в части операций по обязательному медицинскому страхованию.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15. Настоящее Указание вступает в силу по истечении 10 дней после дня его официального опубликования.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16. Страховщикам (страховым организациям и обществам взаимного страхования) необходимо привести состав и структуру активов, в которые инвестированы средства страховых резервов, в соответствие с настоящим Указанием в течение 20 календарных дней со дня вступления в силу настоящего Указания.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17. Средства страховых резервов могут быть инвестированы в активы, указанные в </w:t>
      </w:r>
      <w:hyperlink w:anchor="P41" w:history="1">
        <w:r>
          <w:rPr>
            <w:color w:val="0000FF"/>
          </w:rPr>
          <w:t>подпункте 6.4 пункта 6</w:t>
        </w:r>
      </w:hyperlink>
      <w:r>
        <w:t xml:space="preserve"> настоящего Указания, не соответствующие требованиям </w:t>
      </w:r>
      <w:hyperlink w:anchor="P64" w:history="1">
        <w:r>
          <w:rPr>
            <w:color w:val="0000FF"/>
          </w:rPr>
          <w:t>подпункта 7.4 пункта 7</w:t>
        </w:r>
      </w:hyperlink>
      <w:r>
        <w:t xml:space="preserve"> настоящего Указания, до 1 июля 2017 года в случае, если собственные средства (капитал) страховщика или средства страховых резервов были инвестированы страховщиком в данные активы до дня вступления в силу настоящего Указания.</w:t>
      </w:r>
    </w:p>
    <w:p w:rsidR="002D415A" w:rsidRDefault="002D4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15A" w:rsidRDefault="002D415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D415A" w:rsidRDefault="002D415A">
      <w:pPr>
        <w:pStyle w:val="ConsPlusNormal"/>
        <w:ind w:firstLine="540"/>
        <w:jc w:val="both"/>
      </w:pPr>
      <w:r>
        <w:t xml:space="preserve">С 1 июля 2018 года </w:t>
      </w:r>
      <w:hyperlink r:id="rId32" w:history="1">
        <w:r>
          <w:rPr>
            <w:color w:val="0000FF"/>
          </w:rPr>
          <w:t>Указанием</w:t>
        </w:r>
      </w:hyperlink>
      <w:r>
        <w:t xml:space="preserve"> Банка России от 20.06.2017 N 4423-У абзац второй пункта 17 признается утратившим силу.</w:t>
      </w:r>
    </w:p>
    <w:p w:rsidR="002D415A" w:rsidRDefault="002D4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15A" w:rsidRDefault="002D415A">
      <w:pPr>
        <w:pStyle w:val="ConsPlusNormal"/>
        <w:ind w:firstLine="540"/>
        <w:jc w:val="both"/>
      </w:pPr>
      <w:r>
        <w:t xml:space="preserve">Требования </w:t>
      </w:r>
      <w:hyperlink w:anchor="P56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58" w:history="1">
        <w:r>
          <w:rPr>
            <w:color w:val="0000FF"/>
          </w:rPr>
          <w:t>четвертого подпункта 7.1 пункта 7</w:t>
        </w:r>
      </w:hyperlink>
      <w:r>
        <w:t xml:space="preserve"> настоящего Указания не применяются в отношении ценных бумаг, указанных в </w:t>
      </w:r>
      <w:hyperlink w:anchor="P39" w:history="1">
        <w:r>
          <w:rPr>
            <w:color w:val="0000FF"/>
          </w:rPr>
          <w:t>подпунктах 6.2</w:t>
        </w:r>
      </w:hyperlink>
      <w:r>
        <w:t xml:space="preserve">, </w:t>
      </w:r>
      <w:hyperlink w:anchor="P40" w:history="1">
        <w:r>
          <w:rPr>
            <w:color w:val="0000FF"/>
          </w:rPr>
          <w:t>6.3</w:t>
        </w:r>
      </w:hyperlink>
      <w:r>
        <w:t xml:space="preserve"> и </w:t>
      </w:r>
      <w:hyperlink w:anchor="P42" w:history="1">
        <w:r>
          <w:rPr>
            <w:color w:val="0000FF"/>
          </w:rPr>
          <w:t>6.5 пункта 6</w:t>
        </w:r>
      </w:hyperlink>
      <w:r>
        <w:t xml:space="preserve"> настоящего Указания, в которые по 13 июля 2017 года включительно страховщиком были инвестированы средства страховых резервов или собственные средства (капитал).</w:t>
      </w:r>
    </w:p>
    <w:p w:rsidR="002D415A" w:rsidRDefault="002D415A">
      <w:pPr>
        <w:pStyle w:val="ConsPlusNormal"/>
        <w:jc w:val="both"/>
      </w:pPr>
      <w:r>
        <w:lastRenderedPageBreak/>
        <w:t xml:space="preserve">(абзац введен </w:t>
      </w:r>
      <w:hyperlink r:id="rId33" w:history="1">
        <w:r>
          <w:rPr>
            <w:color w:val="0000FF"/>
          </w:rPr>
          <w:t>Указанием</w:t>
        </w:r>
      </w:hyperlink>
      <w:r>
        <w:t xml:space="preserve"> Банка России от 20.06.2017 N 4423-У)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 xml:space="preserve">18. Величина средств страховых резервов, указанная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Указания, на период до 1 января 2022 года уменьшается на величину дополнительной части резерва незаработанной премии, рассчитанную в соответствии с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Банка России N 558-П.</w:t>
      </w:r>
    </w:p>
    <w:p w:rsidR="002D415A" w:rsidRDefault="002D415A">
      <w:pPr>
        <w:pStyle w:val="ConsPlusNormal"/>
        <w:spacing w:before="220"/>
        <w:ind w:firstLine="540"/>
        <w:jc w:val="both"/>
      </w:pPr>
      <w:r>
        <w:t>19. Со дня вступления в силу настоящего Указания признать утратившими силу:</w:t>
      </w:r>
    </w:p>
    <w:p w:rsidR="002D415A" w:rsidRDefault="002D415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Указание</w:t>
        </w:r>
      </w:hyperlink>
      <w:r>
        <w:t xml:space="preserve"> Банка России от 16 ноября 2014 года N 3444-У "О порядке инвестирования средств страховых резервов и перечне разрешенных для инвестирования активов", зарегистрированное Министерством юстиции Российской Федерации 22 декабря 2014 года N 35297;</w:t>
      </w:r>
    </w:p>
    <w:p w:rsidR="002D415A" w:rsidRDefault="002D415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Указание</w:t>
        </w:r>
      </w:hyperlink>
      <w:r>
        <w:t xml:space="preserve"> Банка России от 9 марта 2016 года N 3973-У "О внесении изменений в Указание Банка России от 16 ноября 2014 года N 3444-У "О порядке инвестирования средств страховых резервов и перечне разрешенных для инвестирования активов", зарегистрированное Министерством юстиции Российской Федерации 4 апреля 2016 года N 41657.</w:t>
      </w:r>
    </w:p>
    <w:p w:rsidR="002D415A" w:rsidRDefault="002D415A">
      <w:pPr>
        <w:pStyle w:val="ConsPlusNormal"/>
        <w:ind w:firstLine="540"/>
        <w:jc w:val="both"/>
      </w:pPr>
    </w:p>
    <w:p w:rsidR="002D415A" w:rsidRDefault="002D415A">
      <w:pPr>
        <w:pStyle w:val="ConsPlusNormal"/>
        <w:jc w:val="right"/>
      </w:pPr>
      <w:r>
        <w:t>Председатель Центрального банка</w:t>
      </w:r>
    </w:p>
    <w:p w:rsidR="002D415A" w:rsidRDefault="002D415A">
      <w:pPr>
        <w:pStyle w:val="ConsPlusNormal"/>
        <w:jc w:val="right"/>
      </w:pPr>
      <w:r>
        <w:t>Российской Федерации</w:t>
      </w:r>
    </w:p>
    <w:p w:rsidR="002D415A" w:rsidRDefault="002D415A">
      <w:pPr>
        <w:pStyle w:val="ConsPlusNormal"/>
        <w:jc w:val="right"/>
      </w:pPr>
      <w:r>
        <w:t>Э.С.НАБИУЛЛИНА</w:t>
      </w:r>
    </w:p>
    <w:p w:rsidR="002D415A" w:rsidRDefault="002D415A">
      <w:pPr>
        <w:pStyle w:val="ConsPlusNormal"/>
        <w:jc w:val="right"/>
      </w:pPr>
    </w:p>
    <w:p w:rsidR="002D415A" w:rsidRDefault="002D415A">
      <w:pPr>
        <w:pStyle w:val="ConsPlusNormal"/>
        <w:jc w:val="right"/>
      </w:pPr>
    </w:p>
    <w:p w:rsidR="002D415A" w:rsidRDefault="002D415A">
      <w:pPr>
        <w:pStyle w:val="ConsPlusNormal"/>
        <w:jc w:val="right"/>
      </w:pPr>
    </w:p>
    <w:p w:rsidR="002D415A" w:rsidRDefault="002D415A">
      <w:pPr>
        <w:pStyle w:val="ConsPlusNormal"/>
        <w:jc w:val="right"/>
      </w:pPr>
    </w:p>
    <w:p w:rsidR="002D415A" w:rsidRDefault="002D415A">
      <w:pPr>
        <w:pStyle w:val="ConsPlusNormal"/>
        <w:jc w:val="right"/>
      </w:pPr>
    </w:p>
    <w:p w:rsidR="002D415A" w:rsidRDefault="002D415A">
      <w:pPr>
        <w:sectPr w:rsidR="002D415A" w:rsidSect="00F31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15A" w:rsidRDefault="002D415A">
      <w:pPr>
        <w:pStyle w:val="ConsPlusNormal"/>
        <w:jc w:val="right"/>
        <w:outlineLvl w:val="0"/>
      </w:pPr>
      <w:r>
        <w:lastRenderedPageBreak/>
        <w:t>Приложение</w:t>
      </w:r>
    </w:p>
    <w:p w:rsidR="002D415A" w:rsidRDefault="002D415A">
      <w:pPr>
        <w:pStyle w:val="ConsPlusNormal"/>
        <w:jc w:val="right"/>
      </w:pPr>
      <w:r>
        <w:t>к Указанию Банка России</w:t>
      </w:r>
    </w:p>
    <w:p w:rsidR="002D415A" w:rsidRDefault="002D415A">
      <w:pPr>
        <w:pStyle w:val="ConsPlusNormal"/>
        <w:jc w:val="right"/>
      </w:pPr>
      <w:r>
        <w:t>от 22 февраля 2017 года N 4297-У</w:t>
      </w:r>
    </w:p>
    <w:p w:rsidR="002D415A" w:rsidRDefault="002D415A">
      <w:pPr>
        <w:pStyle w:val="ConsPlusNormal"/>
        <w:jc w:val="right"/>
      </w:pPr>
      <w:r>
        <w:t>"О порядке инвестирования средств</w:t>
      </w:r>
    </w:p>
    <w:p w:rsidR="002D415A" w:rsidRDefault="002D415A">
      <w:pPr>
        <w:pStyle w:val="ConsPlusNormal"/>
        <w:jc w:val="right"/>
      </w:pPr>
      <w:r>
        <w:t>страховых резервов и перечне разрешенных</w:t>
      </w:r>
    </w:p>
    <w:p w:rsidR="002D415A" w:rsidRDefault="002D415A">
      <w:pPr>
        <w:pStyle w:val="ConsPlusNormal"/>
        <w:jc w:val="right"/>
      </w:pPr>
      <w:r>
        <w:t>для инвестирования активов"</w:t>
      </w:r>
    </w:p>
    <w:p w:rsidR="002D415A" w:rsidRDefault="002D415A">
      <w:pPr>
        <w:pStyle w:val="ConsPlusNormal"/>
        <w:ind w:firstLine="540"/>
        <w:jc w:val="both"/>
      </w:pPr>
    </w:p>
    <w:p w:rsidR="002D415A" w:rsidRDefault="002D415A">
      <w:pPr>
        <w:pStyle w:val="ConsPlusNormal"/>
        <w:jc w:val="center"/>
      </w:pPr>
      <w:bookmarkStart w:id="28" w:name="P162"/>
      <w:bookmarkEnd w:id="28"/>
      <w:r>
        <w:t>ТРЕБОВАНИЯ К СТРУКТУРЕ АКТИВОВ</w:t>
      </w:r>
    </w:p>
    <w:p w:rsidR="002D415A" w:rsidRDefault="002D415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345"/>
      </w:tblGrid>
      <w:tr w:rsidR="002D415A">
        <w:tc>
          <w:tcPr>
            <w:tcW w:w="567" w:type="dxa"/>
          </w:tcPr>
          <w:p w:rsidR="002D415A" w:rsidRDefault="002D41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  <w:jc w:val="center"/>
            </w:pPr>
            <w:r>
              <w:t>Виды активов, в которые инвестируются средства страховых резервов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  <w:jc w:val="center"/>
            </w:pPr>
            <w:r>
              <w:t>Предельный разрешенный процент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  <w:jc w:val="center"/>
            </w:pPr>
            <w:r>
              <w:t>3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1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Стоимость государственных ценных бумаг субъектов Российской Федерации и муниципальных ценных бумаг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45%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2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Стоимость государственных ценных бумаг одного субъекта Российской Федерации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40%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3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Стоимость муниципальных ценных бумаг одного органа местного самоуправления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40%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4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Максимальная сумма денежных средств, размещенных в депозиты, в том числе удостоверенные депозитными сертификатами, а также остатков по обезличенным металлическим счетам в банках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60%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5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Сумма денежных средств, размещенных в депозиты, в том числе удостоверенные депозитными сертификатами, а также остатков по обезличенным металлическим счетам в банках, имеющих кредитный рейтинг не ниже верхней границы уровня, установленного Советом директоров Банка России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60%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Сумма денежных средств, размещенных в депозиты, в том числе удостоверенные депозитными сертификатами, а также остатков по обезличенным металлическим счетам в банках, имеющих кредитный рейтинг не ниже нижней границы, но ниже верхней границы уровня, установленного Советом директоров Банка России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50%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7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Максимальная сумма денежных средств, размещенных в депозиты, в том числе удостоверенные депозитными сертификатами, а также остатков по обезличенным металлическим счетам в одном банке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25%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8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Стоимость акций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20%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9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Стоимость облигаций (кроме государственных ценных бумаг Российской Федерации и ценных бумаг, исполнение обязательств по которым гарантировано Российской Федерацией (в том числе путем гарантирования исполнения обязательств, вытекающих из банковских гарантий и (или) поручительств, обеспечивающих исполнение обязательств, вытекающих из указанных ценных бумаг), государственных ценных бумаг субъектов Российской Федерации, муниципальных ценных бумаг и ипотечных ценных бумаг)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45%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10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Суммарная стоимость субординированных облигаций и субординированных депозитов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20%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11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Суммарная стоимость иностранных финансовых инструментов, квалифицированных в качестве ценных бумаг, указанных в </w:t>
            </w:r>
            <w:hyperlink w:anchor="P42" w:history="1">
              <w:r>
                <w:rPr>
                  <w:color w:val="0000FF"/>
                </w:rPr>
                <w:t>подпункте 6.5 пункта 6</w:t>
              </w:r>
            </w:hyperlink>
            <w:r>
              <w:t xml:space="preserve"> настоящего Указания, в соответствии с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рынке ценных бумаг" и отраженных в бухгалтерской (финансовой) отчетности страховщика в качестве производных финансовых инструментов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100% от суммарной величины резерва дополнительных выплат (страховых бонусов) и резерва опций и гарантий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Суммарная стоимость инвестиционных паев паевых инвестиционных фондов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100% от суммарной величины резерва дополнительных выплат (страховых бонусов) и резерва опций и гарантий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13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Суммарная стоимость ценных бумаг, указанных в </w:t>
            </w:r>
            <w:hyperlink w:anchor="P41" w:history="1">
              <w:r>
                <w:rPr>
                  <w:color w:val="0000FF"/>
                </w:rPr>
                <w:t>подпунктах 6.4</w:t>
              </w:r>
            </w:hyperlink>
            <w:r>
              <w:t xml:space="preserve"> - </w:t>
            </w:r>
            <w:hyperlink w:anchor="P43" w:history="1">
              <w:r>
                <w:rPr>
                  <w:color w:val="0000FF"/>
                </w:rPr>
                <w:t>6.6</w:t>
              </w:r>
            </w:hyperlink>
            <w:r>
              <w:t xml:space="preserve">, </w:t>
            </w:r>
            <w:hyperlink w:anchor="P52" w:history="1">
              <w:r>
                <w:rPr>
                  <w:color w:val="0000FF"/>
                </w:rPr>
                <w:t>6.15 пункта 6</w:t>
              </w:r>
            </w:hyperlink>
            <w:r>
              <w:t xml:space="preserve"> настоящего Указания, выпущенных (выданных, эмитированных) одним юридическим лицом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14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Стоимость ценных бумаг, выпущенных (выданных, эмитированных) одним банком, денежных средств, размещенных в депозиты, в том числе удостоверенных депозитными сертификатами, остатков по обезличенным металлическим счетам и денежных средств, находящихся на счетах в этом же банке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40%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15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Стоимость недвижимого имущества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20%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>не более 15% от величины страховых резервов по страхованию иному, чем страхование жизни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16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Стоимость одного объекта недвижимости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17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Стоимость ценных бумаг, выпущенных международными финансовыми организациями и включенных в Ломбардный список Банка России в соответствии с </w:t>
            </w:r>
            <w:hyperlink r:id="rId38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N 2861-У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20%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18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Суммарная величина доли перестраховщиков в страховых </w:t>
            </w:r>
            <w:r>
              <w:lastRenderedPageBreak/>
              <w:t xml:space="preserve">резервах, сформированных в соответствии с </w:t>
            </w:r>
            <w:hyperlink r:id="rId39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557-П и </w:t>
            </w:r>
            <w:hyperlink r:id="rId40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 (кроме доли перестраховщиков в резерве заявленных, но неурегулированных убытков)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lastRenderedPageBreak/>
              <w:t xml:space="preserve">Не более 20% от величины </w:t>
            </w:r>
            <w:r>
              <w:lastRenderedPageBreak/>
              <w:t>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 xml:space="preserve">не более 50% от величины страховых резервов по страхованию иному, чем страхование жизни, по всем видам страхования (кроме видов страхования, указанных в </w:t>
            </w:r>
            <w:hyperlink r:id="rId41" w:history="1">
              <w:r>
                <w:rPr>
                  <w:color w:val="0000FF"/>
                </w:rPr>
                <w:t>подпунктах 7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18 пункта 1 статьи 32.9</w:t>
              </w:r>
            </w:hyperlink>
            <w:r>
              <w:t xml:space="preserve"> Закона Российской Федерации "Об организации страхового дела в Российской Федерации"), за исключением резерва заявленных, но не урегулированных убытков по всем видам страхования (кроме видов страхования, указанных в </w:t>
            </w:r>
            <w:hyperlink r:id="rId45" w:history="1">
              <w:r>
                <w:rPr>
                  <w:color w:val="0000FF"/>
                </w:rPr>
                <w:t>подпунктах 7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18 пункта 1 статьи 32.9</w:t>
              </w:r>
            </w:hyperlink>
            <w:r>
              <w:t xml:space="preserve"> Закона Российской Федерации "Об организации страхового дела в Российской Федерации");</w:t>
            </w:r>
          </w:p>
          <w:p w:rsidR="002D415A" w:rsidRDefault="002D415A">
            <w:pPr>
              <w:pStyle w:val="ConsPlusNormal"/>
            </w:pPr>
            <w:r>
              <w:t xml:space="preserve">не более 60% от величины страховых резервов по страхованию иному, чем страхование жизни, по видам страхования, указанным в </w:t>
            </w:r>
            <w:hyperlink r:id="rId49" w:history="1">
              <w:r>
                <w:rPr>
                  <w:color w:val="0000FF"/>
                </w:rPr>
                <w:t>подпунктах 7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18 пункта 1 статьи 32.9</w:t>
              </w:r>
            </w:hyperlink>
            <w:r>
              <w:t xml:space="preserve"> Закона Российской Федерации "Об организации страхового дела в Российской Федерации"), за исключением резерва заявленных, но не </w:t>
            </w:r>
            <w:r>
              <w:lastRenderedPageBreak/>
              <w:t xml:space="preserve">урегулированных убытков по видам страхования, указанным в </w:t>
            </w:r>
            <w:hyperlink r:id="rId53" w:history="1">
              <w:r>
                <w:rPr>
                  <w:color w:val="0000FF"/>
                </w:rPr>
                <w:t>подпунктах 7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18 пункта 1 статьи 32.9</w:t>
              </w:r>
            </w:hyperlink>
            <w:r>
              <w:t xml:space="preserve"> Закона Российской Федерации "Об организации страхового дела в Российской Федерации")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Суммарная величина доли перестраховщиков, не являющихся резидентами Российской Федерации, в страховых резервах, сформированных в соответствии с </w:t>
            </w:r>
            <w:hyperlink r:id="rId57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557-П и </w:t>
            </w:r>
            <w:hyperlink r:id="rId58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 (кроме доли перестраховщиков в резерве заявленных, но не урегулированных убытков)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 xml:space="preserve">не более 40% от величины страховых резервов по страхованию иному, чем страхование жизни, по всем видам страхования (кроме видов страхования, указанных в </w:t>
            </w:r>
            <w:hyperlink r:id="rId59" w:history="1">
              <w:r>
                <w:rPr>
                  <w:color w:val="0000FF"/>
                </w:rPr>
                <w:t>подпунктах 7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18 пункта 1 статьи 32.9</w:t>
              </w:r>
            </w:hyperlink>
            <w:r>
              <w:t xml:space="preserve"> Закона Российской Федерации "Об организации страхового дела в Российской Федерации"), за исключением резерва заявленных, но не урегулированных убытков по всем видам страхования (кроме видов страхования, указанных в </w:t>
            </w:r>
            <w:hyperlink r:id="rId63" w:history="1">
              <w:r>
                <w:rPr>
                  <w:color w:val="0000FF"/>
                </w:rPr>
                <w:t>подпунктах 7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18 пункта 1 статьи 32.9</w:t>
              </w:r>
            </w:hyperlink>
            <w:r>
              <w:t xml:space="preserve"> Закона Российской Федерации "Об организации страхового дела в Российской Федерации");</w:t>
            </w:r>
          </w:p>
          <w:p w:rsidR="002D415A" w:rsidRDefault="002D415A">
            <w:pPr>
              <w:pStyle w:val="ConsPlusNormal"/>
            </w:pPr>
            <w:r>
              <w:t xml:space="preserve">не более 50% от величины страховых резервов по страхованию иному, чем </w:t>
            </w:r>
            <w:r>
              <w:lastRenderedPageBreak/>
              <w:t xml:space="preserve">страхование жизни, по видам страхования, указанным в </w:t>
            </w:r>
            <w:hyperlink r:id="rId67" w:history="1">
              <w:r>
                <w:rPr>
                  <w:color w:val="0000FF"/>
                </w:rPr>
                <w:t>подпунктах 7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18 пункта 1 статьи 32.9</w:t>
              </w:r>
            </w:hyperlink>
            <w:r>
              <w:t xml:space="preserve"> Закона Российской Федерации "Об организации страхового дела в Российской Федерации"), за исключением резерва заявленных, но не урегулированных убытков по видам страхования, указанным в </w:t>
            </w:r>
            <w:hyperlink r:id="rId71" w:history="1">
              <w:r>
                <w:rPr>
                  <w:color w:val="0000FF"/>
                </w:rPr>
                <w:t>подпунктах 7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18 пункта 1 статьи 32.9</w:t>
              </w:r>
            </w:hyperlink>
            <w:r>
              <w:t xml:space="preserve"> Закона Российской Федерации "Об организации страхового дела в Российской Федерации")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Максимальная величина в страховых резервах, сформированных в соответствии с </w:t>
            </w:r>
            <w:hyperlink r:id="rId75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557-П и </w:t>
            </w:r>
            <w:hyperlink r:id="rId76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 (кроме доли перестраховщиков в резерве заявленных, но не урегулированных убытков), доли одного перестраховщика, являющегося резидентом Российской Федерации и имеющего кредитный рейтинг не ниже уровня, установленного Советом директоров Банка России.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>не более 35% от величины страховых резервов по страхованию иному, чем страхование жизни, за исключением резерва заявленных, но не урегулированных убытков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21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Максимальная величина в страховых резервах, сформированных в соответствии с </w:t>
            </w:r>
            <w:hyperlink r:id="rId77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557-П и </w:t>
            </w:r>
            <w:hyperlink r:id="rId78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 (кроме доли перестраховщиков в резерве заявленных, но не урегулированных убытков), доли одного перестраховщика, являющегося резидентом Российской Федерации и не имеющего кредитного рейтинга либо имеющего кредитный </w:t>
            </w:r>
            <w:r>
              <w:lastRenderedPageBreak/>
              <w:t>рейтинг ниже уровня, установленного Советом директоров Банка России.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lastRenderedPageBreak/>
              <w:t>Не более 10%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 xml:space="preserve">не более 25% от величины страховых резервов по страхованию иному, чем страхование жизни, за </w:t>
            </w:r>
            <w:r>
              <w:lastRenderedPageBreak/>
              <w:t>исключением резерва заявленных, но не урегулированных убытков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bookmarkStart w:id="29" w:name="P240"/>
            <w:bookmarkEnd w:id="29"/>
            <w:r>
              <w:lastRenderedPageBreak/>
              <w:t>22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Максимальная величина в страховых резервах, сформированных в соответствии с </w:t>
            </w:r>
            <w:hyperlink r:id="rId79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557-П и </w:t>
            </w:r>
            <w:hyperlink r:id="rId80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 (кроме доли перестраховщиков в резерве заявленных, но не урегулированных убытков), доли одного перестраховщика, не являющегося резидентом Российской Федерации, созданного на территории государства, являющегося членом одной из следующих международных организаций:</w:t>
            </w:r>
          </w:p>
          <w:p w:rsidR="002D415A" w:rsidRDefault="002D415A">
            <w:pPr>
              <w:pStyle w:val="ConsPlusNormal"/>
              <w:ind w:firstLine="283"/>
            </w:pPr>
            <w:r>
              <w:t>Евразийский экономический союз (ЕАЭС);</w:t>
            </w:r>
          </w:p>
          <w:p w:rsidR="002D415A" w:rsidRDefault="002D415A">
            <w:pPr>
              <w:pStyle w:val="ConsPlusNormal"/>
              <w:ind w:firstLine="283"/>
            </w:pPr>
            <w:r>
              <w:t>Организация экономического сотрудничества и развития (ОЭСР);</w:t>
            </w:r>
          </w:p>
          <w:p w:rsidR="002D415A" w:rsidRDefault="002D415A">
            <w:pPr>
              <w:pStyle w:val="ConsPlusNormal"/>
              <w:ind w:firstLine="283"/>
            </w:pPr>
            <w:r>
              <w:t>Содружество Независимых Государств (СНГ);</w:t>
            </w:r>
          </w:p>
          <w:p w:rsidR="002D415A" w:rsidRDefault="002D415A">
            <w:pPr>
              <w:pStyle w:val="ConsPlusNormal"/>
              <w:ind w:firstLine="283"/>
            </w:pPr>
            <w:r>
              <w:t>Шанхайская организация сотрудничества (ШОС);</w:t>
            </w:r>
          </w:p>
          <w:p w:rsidR="002D415A" w:rsidRDefault="002D415A">
            <w:pPr>
              <w:pStyle w:val="ConsPlusNormal"/>
              <w:ind w:firstLine="283"/>
            </w:pPr>
            <w:r>
              <w:t>Комитет экспертов Совета Европы по оценке мер противодействия отмыванию денег и финансированию терроризма (</w:t>
            </w:r>
            <w:proofErr w:type="spellStart"/>
            <w:r>
              <w:t>Манивэл</w:t>
            </w:r>
            <w:proofErr w:type="spellEnd"/>
            <w:r>
              <w:t>);</w:t>
            </w:r>
          </w:p>
          <w:p w:rsidR="002D415A" w:rsidRDefault="002D415A">
            <w:pPr>
              <w:pStyle w:val="ConsPlusNormal"/>
              <w:ind w:firstLine="283"/>
            </w:pPr>
            <w:r>
              <w:t>Группа разработки финансовых мер борьбы с отмыванием денег (ФАТФ)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>не более 35% от величины страховых резервов по страхованию иному, чем страхование жизни, за исключением резерва заявленных, но не урегулированных убытков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23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Максимальная величина в страховых резервах, сформированных в соответствии с </w:t>
            </w:r>
            <w:hyperlink r:id="rId81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557-П и </w:t>
            </w:r>
            <w:hyperlink r:id="rId82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 (кроме доли перестраховщиков в резерве заявленных, но не урегулированных убытков), доли одного перестраховщика, не являющегося резидентом Российской Федерации, который создан на территории государства, не являющегося членом одной из международных организаций, указанных в </w:t>
            </w:r>
            <w:hyperlink w:anchor="P240" w:history="1">
              <w:r>
                <w:rPr>
                  <w:color w:val="0000FF"/>
                </w:rPr>
                <w:t>строке 22</w:t>
              </w:r>
            </w:hyperlink>
            <w:r>
              <w:t xml:space="preserve"> настоящей таблицы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>не более 30% от величины страховых резервов по страхованию иному, чем страхование жизни, за исключением резерва заявленных, но не урегулированных убытков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Депо премий по рискам, принятым в перестрахование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bookmarkStart w:id="30" w:name="P257"/>
            <w:bookmarkEnd w:id="30"/>
            <w:r>
              <w:t>25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Дебиторская задолженность страхователей, перестрахователей, страховых агентов, страховых брокеров по страховым премиям (взносам), за исключением дебиторской задолженности, указанной в </w:t>
            </w:r>
            <w:hyperlink w:anchor="P269" w:history="1">
              <w:r>
                <w:rPr>
                  <w:color w:val="0000FF"/>
                </w:rPr>
                <w:t>строке 28</w:t>
              </w:r>
            </w:hyperlink>
            <w:r>
              <w:t xml:space="preserve"> настоящей таблицы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15%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 xml:space="preserve">не более 55% от величины резерва незаработанной премии по страхованию иному, чем страхование жизни, уменьшенной на величину дополнительной части резерва незаработанной премии, рассчитанную в соответствии с </w:t>
            </w:r>
            <w:hyperlink r:id="rId83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26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Дебиторская задолженность страхователей, перестрахователей, страховых агентов, страховых брокеров, имеющих кредитный рейтинг не ниже уровня, установленного Советом директоров Банка России, по страховым премиям (взносам), за исключением дебиторской задолженности, указанной в </w:t>
            </w:r>
            <w:hyperlink w:anchor="P269" w:history="1">
              <w:r>
                <w:rPr>
                  <w:color w:val="0000FF"/>
                </w:rPr>
                <w:t>строке 28</w:t>
              </w:r>
            </w:hyperlink>
            <w:r>
              <w:t xml:space="preserve"> настоящей таблицы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15%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 xml:space="preserve">не более 55% от величины резерва незаработанной премии по страхованию иному, чем страхование жизни, уменьшенной на величину дополнительной части резерва незаработанной премии, рассчитанную в соответствии с </w:t>
            </w:r>
            <w:hyperlink r:id="rId84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27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Дебиторская задолженность страхователей, перестрахователей, страховых агентов, страховых брокеров, не имеющих кредитного рейтинга, либо имеющих </w:t>
            </w:r>
            <w:r>
              <w:lastRenderedPageBreak/>
              <w:t xml:space="preserve">кредитный рейтинг ниже уровня, установленного Советом директоров Банка России, по страховым премиям (взносам), за исключением дебиторской задолженности, указанной в </w:t>
            </w:r>
            <w:hyperlink w:anchor="P269" w:history="1">
              <w:r>
                <w:rPr>
                  <w:color w:val="0000FF"/>
                </w:rPr>
                <w:t>строке 28</w:t>
              </w:r>
            </w:hyperlink>
            <w:r>
              <w:t xml:space="preserve"> настоящей таблицы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lastRenderedPageBreak/>
              <w:t>Не более 10%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lastRenderedPageBreak/>
              <w:t xml:space="preserve">не более 45% от величины резерва незаработанной премии по страхованию иному, чем страхование жизни, уменьшенной на величину дополнительной части резерва незаработанной премии, рассчитанную в соответствии с </w:t>
            </w:r>
            <w:hyperlink r:id="rId85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bookmarkStart w:id="31" w:name="P269"/>
            <w:bookmarkEnd w:id="31"/>
            <w:r>
              <w:lastRenderedPageBreak/>
              <w:t>28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Дебиторская задолженность страхователей по договорам обязательного государственного страхования, дебиторская задолженность страхователей, являющихся государственными или муниципальными заказчиками, по договорам страхования, заключенным в порядке, установленном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41) (далее - Федеральный закон "О контрактной системе в сфере закупок товаров, работ, услуг для обеспечения государственных и муниципальных нужд"), по страховым премиям (взносам), дебиторская задолженность страхователей, являющихся заказчиками, по договорам страхования, заключенным в порядке, установленном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</w:t>
            </w:r>
            <w:r>
              <w:lastRenderedPageBreak/>
              <w:t xml:space="preserve">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 (далее - Федеральный закон "О закупках товаров, работ, услуг отдельными видами юридических лиц"), по страховым премиям (взносам), а также дебиторская задолженность страхователей по договорам сельскохозяйственного страхования с государственной поддержкой, заключенных в порядке, установленном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N 50, ст. 7359; 2013, N 30, ст. 4084; 2014, N 52, ст. 7535; 2016, N 22, ст. 3094; N 26, ст. 3891) (далее - Федеральный закон о государственной поддержке в сфере сельскохозяйственного страхования), по страховым премиям (взносам)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lastRenderedPageBreak/>
              <w:t xml:space="preserve">Не более 100% от величины резерва незаработанной премии по договорам обязательного государственного страхования, договорам страхования, заключенным в порядке, установленном Федеральным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по договорам страхования, заключенным в порядке, установленном Федеральным </w:t>
            </w:r>
            <w:hyperlink r:id="rId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по договорам сельскохозяйственного страхования с государственной поддержкой, заключенных в порядке, установленном </w:t>
            </w:r>
            <w:r>
              <w:lastRenderedPageBreak/>
              <w:t xml:space="preserve">Федеральным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государственной поддержке в сфере сельскохозяйственного страхования, уменьшенной на величину дополнительной части резерва незаработанной премии по указанным договорам, рассчитанную в соответствии с </w:t>
            </w:r>
            <w:hyperlink r:id="rId92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Суммарная дебиторская задолженность по операциям страхования, </w:t>
            </w:r>
            <w:proofErr w:type="spellStart"/>
            <w:r>
              <w:t>сострахования</w:t>
            </w:r>
            <w:proofErr w:type="spellEnd"/>
            <w:r>
              <w:t xml:space="preserve"> и перестрахования, за исключением дебиторской задолженности, указанной в </w:t>
            </w:r>
            <w:hyperlink w:anchor="P257" w:history="1">
              <w:r>
                <w:rPr>
                  <w:color w:val="0000FF"/>
                </w:rPr>
                <w:t>строках 25</w:t>
              </w:r>
            </w:hyperlink>
            <w:r>
              <w:t xml:space="preserve"> - </w:t>
            </w:r>
            <w:hyperlink w:anchor="P269" w:history="1">
              <w:r>
                <w:rPr>
                  <w:color w:val="0000FF"/>
                </w:rPr>
                <w:t>28</w:t>
              </w:r>
            </w:hyperlink>
            <w:r>
              <w:t xml:space="preserve"> настоящей таблицы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 xml:space="preserve">Не более 25% от суммарной величины страховых резервов, уменьшенной на величину разницы резерва незаработанной премии и дополнительной части резерва незаработанной премии, рассчитанной в соответствии с </w:t>
            </w:r>
            <w:hyperlink r:id="rId93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Банка России N 558-П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30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Дебиторская задолженность страховщиков, возникшая в </w:t>
            </w:r>
            <w:r>
              <w:lastRenderedPageBreak/>
              <w:t>результате расчетов по прямому возмещению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средств, уменьшенная на сумму кредиторской задолженности, возникшей в результате этих же расчетов со страховщиками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lastRenderedPageBreak/>
              <w:t xml:space="preserve">Не более 100% от величины </w:t>
            </w:r>
            <w:r>
              <w:lastRenderedPageBreak/>
              <w:t>страхового резерва для компенсации расходов на осуществление страховых выплат и прямое возмещение убытков в последующие периоды (стабилизационного резерва по обязательному страхованию гражданской ответственности владельцев транспортных средств)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Суммарная стоимость облигаций с ипотечным покрытием и ипотечных сертификатов участия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45% от величины страховых резервов по страхованию жизни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32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Суммарная стоимость облигаций с ипотечным покрытием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10% от величины страховых резервов по страхованию иному, чем страхование жизни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33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Максимальная стоимость облигаций с ипотечным покрытием, соответствующих требованию </w:t>
            </w:r>
            <w:hyperlink w:anchor="P93" w:history="1">
              <w:r>
                <w:rPr>
                  <w:color w:val="0000FF"/>
                </w:rPr>
                <w:t>абзаца четвертого</w:t>
              </w:r>
            </w:hyperlink>
            <w:r>
              <w:t xml:space="preserve"> или </w:t>
            </w:r>
            <w:hyperlink w:anchor="P94" w:history="1">
              <w:r>
                <w:rPr>
                  <w:color w:val="0000FF"/>
                </w:rPr>
                <w:t>пятого подпункта 7.11.1 пункта 7</w:t>
              </w:r>
            </w:hyperlink>
            <w:r>
              <w:t xml:space="preserve"> настоящего Указания, и ипотечных сертификатов участия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>не более 10% от величины страховых резервов по страхованию иному, чем страхование жизни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34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Максимальная стоимость облигаций с ипотечным покрытием, соответствующих требованию </w:t>
            </w:r>
            <w:hyperlink w:anchor="P95" w:history="1">
              <w:r>
                <w:rPr>
                  <w:color w:val="0000FF"/>
                </w:rPr>
                <w:t>абзаца шестого подпункта 7.11.1 пункта 7</w:t>
              </w:r>
            </w:hyperlink>
            <w:r>
              <w:t xml:space="preserve"> настоящего Указания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45%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 xml:space="preserve">не более 10% от величины страховых резервов по страхованию иному, чем </w:t>
            </w:r>
            <w:r>
              <w:lastRenderedPageBreak/>
              <w:t>страхование жизни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Стоимость облигаций с ипотечным покрытием, соответствующих требованию </w:t>
            </w:r>
            <w:hyperlink w:anchor="P95" w:history="1">
              <w:r>
                <w:rPr>
                  <w:color w:val="0000FF"/>
                </w:rPr>
                <w:t>абзаца шестого подпункта 7.11.1 пункта 7</w:t>
              </w:r>
            </w:hyperlink>
            <w:r>
              <w:t xml:space="preserve"> настоящего Указания, в рамках одного выпуска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30%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>не более 10% от величины страховых резервов по страхованию иному, чем страхование жизни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36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Стоимость облигаций с ипотечным покрытием, соответствующих требованию </w:t>
            </w:r>
            <w:hyperlink w:anchor="P95" w:history="1">
              <w:r>
                <w:rPr>
                  <w:color w:val="0000FF"/>
                </w:rPr>
                <w:t>абзаца шестого подпункта 7.11.1 пункта 7</w:t>
              </w:r>
            </w:hyperlink>
            <w:r>
              <w:t xml:space="preserve"> настоящего Указания, одного первоначального кредитора по обязательствам, денежные требования по которым являются предметом залога по облигациям с ипотечным покрытием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20% от величины страховых резервов по страхованию жизни;</w:t>
            </w:r>
          </w:p>
          <w:p w:rsidR="002D415A" w:rsidRDefault="002D415A">
            <w:pPr>
              <w:pStyle w:val="ConsPlusNormal"/>
            </w:pPr>
            <w:r>
              <w:t>не более 10% от величины страховых резервов по страхованию иному, чем страхование жизни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37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Займы страхователям по договорам страхования жизни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10% от величины страховых резервов по страхованию жизни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38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Средства страховых резервов, переданные в доверительное управление управляющим компаниям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50%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39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>Суммарная стоимость активов, в которые инвестированы средства страховых резервов, не относящихся к находящимся на территории Российской Федерации, за исключением доли перестраховщиков, не являющихся резидентами Российской Федерации, в страховых резервах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t>Не более 30% от суммарной величины страховых резервов</w:t>
            </w:r>
          </w:p>
        </w:tc>
      </w:tr>
      <w:tr w:rsidR="002D415A">
        <w:tc>
          <w:tcPr>
            <w:tcW w:w="567" w:type="dxa"/>
          </w:tcPr>
          <w:p w:rsidR="002D415A" w:rsidRDefault="002D415A">
            <w:pPr>
              <w:pStyle w:val="ConsPlusNormal"/>
            </w:pPr>
            <w:r>
              <w:t>40</w:t>
            </w:r>
          </w:p>
        </w:tc>
        <w:tc>
          <w:tcPr>
            <w:tcW w:w="5896" w:type="dxa"/>
          </w:tcPr>
          <w:p w:rsidR="002D415A" w:rsidRDefault="002D415A">
            <w:pPr>
              <w:pStyle w:val="ConsPlusNormal"/>
            </w:pPr>
            <w:r>
              <w:t xml:space="preserve">Суммарная стоимость активов, указанных в </w:t>
            </w:r>
            <w:hyperlink w:anchor="P39" w:history="1">
              <w:r>
                <w:rPr>
                  <w:color w:val="0000FF"/>
                </w:rPr>
                <w:t>подпунктах 6.2</w:t>
              </w:r>
            </w:hyperlink>
            <w:r>
              <w:t xml:space="preserve"> - </w:t>
            </w:r>
            <w:hyperlink w:anchor="P43" w:history="1">
              <w:r>
                <w:rPr>
                  <w:color w:val="0000FF"/>
                </w:rPr>
                <w:t>6.6</w:t>
              </w:r>
            </w:hyperlink>
            <w:r>
              <w:t xml:space="preserve">, </w:t>
            </w:r>
            <w:hyperlink w:anchor="P49" w:history="1">
              <w:r>
                <w:rPr>
                  <w:color w:val="0000FF"/>
                </w:rPr>
                <w:t>6.12</w:t>
              </w:r>
            </w:hyperlink>
            <w:r>
              <w:t xml:space="preserve">, </w:t>
            </w:r>
            <w:hyperlink w:anchor="P52" w:history="1">
              <w:r>
                <w:rPr>
                  <w:color w:val="0000FF"/>
                </w:rPr>
                <w:t>6.15 пункта 6</w:t>
              </w:r>
            </w:hyperlink>
            <w:r>
              <w:t xml:space="preserve"> настоящего Указания, выпущенных (выданных, эмитированных и других) связанными со страховщиком сторонами, и активов, указанных в </w:t>
            </w:r>
            <w:hyperlink w:anchor="P44" w:history="1">
              <w:r>
                <w:rPr>
                  <w:color w:val="0000FF"/>
                </w:rPr>
                <w:t>подпунктах 6.7</w:t>
              </w:r>
            </w:hyperlink>
            <w:r>
              <w:t xml:space="preserve">, </w:t>
            </w:r>
            <w:hyperlink w:anchor="P45" w:history="1">
              <w:r>
                <w:rPr>
                  <w:color w:val="0000FF"/>
                </w:rPr>
                <w:t>6.8</w:t>
              </w:r>
            </w:hyperlink>
            <w:r>
              <w:t xml:space="preserve">, </w:t>
            </w:r>
            <w:hyperlink w:anchor="P51" w:history="1">
              <w:r>
                <w:rPr>
                  <w:color w:val="0000FF"/>
                </w:rPr>
                <w:t>6.14 пункта 6</w:t>
              </w:r>
            </w:hyperlink>
            <w:r>
              <w:t xml:space="preserve"> настоящего Указания, размещенных (находящихся) на счетах связанных со страховщиком сторон</w:t>
            </w:r>
          </w:p>
        </w:tc>
        <w:tc>
          <w:tcPr>
            <w:tcW w:w="3345" w:type="dxa"/>
          </w:tcPr>
          <w:p w:rsidR="002D415A" w:rsidRDefault="002D415A">
            <w:pPr>
              <w:pStyle w:val="ConsPlusNormal"/>
            </w:pPr>
            <w:r>
              <w:lastRenderedPageBreak/>
              <w:t>Не более 25% от суммарной величины страховых резервов</w:t>
            </w:r>
          </w:p>
        </w:tc>
      </w:tr>
    </w:tbl>
    <w:p w:rsidR="002D415A" w:rsidRDefault="002D415A">
      <w:pPr>
        <w:pStyle w:val="ConsPlusNormal"/>
        <w:ind w:firstLine="540"/>
        <w:jc w:val="both"/>
      </w:pPr>
    </w:p>
    <w:p w:rsidR="002D415A" w:rsidRDefault="002D415A">
      <w:pPr>
        <w:pStyle w:val="ConsPlusNormal"/>
        <w:ind w:firstLine="540"/>
        <w:jc w:val="both"/>
      </w:pPr>
    </w:p>
    <w:p w:rsidR="002D415A" w:rsidRDefault="002D4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006" w:rsidRDefault="002D415A"/>
    <w:sectPr w:rsidR="00AF7006" w:rsidSect="007628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5A"/>
    <w:rsid w:val="002D415A"/>
    <w:rsid w:val="00C83CDA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C2FD-F5D0-490C-AB81-4D1F52F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41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95EE0DE548AED4BA931C74D09DB800E236AE43D64F0DB64388F16DDl6i0H" TargetMode="External"/><Relationship Id="rId18" Type="http://schemas.openxmlformats.org/officeDocument/2006/relationships/hyperlink" Target="consultantplus://offline/ref=9F895EE0DE548AED4BA931C74D09DB800E206AE43563F0DB64388F16DD6098B060DBBEBD3A54A15ElBiAH" TargetMode="External"/><Relationship Id="rId26" Type="http://schemas.openxmlformats.org/officeDocument/2006/relationships/hyperlink" Target="consultantplus://offline/ref=9F895EE0DE548AED4BA931C74D09DB800E2362E63964F0DB64388F16DD6098B060DBBEBD3A55A355lBi7H" TargetMode="External"/><Relationship Id="rId39" Type="http://schemas.openxmlformats.org/officeDocument/2006/relationships/hyperlink" Target="consultantplus://offline/ref=9F895EE0DE548AED4BA931C74D09DB800E236AE63967F0DB64388F16DDl6i0H" TargetMode="External"/><Relationship Id="rId21" Type="http://schemas.openxmlformats.org/officeDocument/2006/relationships/hyperlink" Target="consultantplus://offline/ref=9F895EE0DE548AED4BA931C74D09DB800D256EE43A6DF0DB64388F16DDl6i0H" TargetMode="External"/><Relationship Id="rId34" Type="http://schemas.openxmlformats.org/officeDocument/2006/relationships/hyperlink" Target="consultantplus://offline/ref=9F895EE0DE548AED4BA931C74D09DB800E236AE43D64F0DB64388F16DDl6i0H" TargetMode="External"/><Relationship Id="rId42" Type="http://schemas.openxmlformats.org/officeDocument/2006/relationships/hyperlink" Target="consultantplus://offline/ref=9F895EE0DE548AED4BA931C74D09DB800E226BEF3F63F0DB64388F16DD6098B060DBBEBF3Al5iDH" TargetMode="External"/><Relationship Id="rId47" Type="http://schemas.openxmlformats.org/officeDocument/2006/relationships/hyperlink" Target="consultantplus://offline/ref=9F895EE0DE548AED4BA931C74D09DB800E226BEF3F63F0DB64388F16DD6098B060DBBEBF3Bl5i1H" TargetMode="External"/><Relationship Id="rId50" Type="http://schemas.openxmlformats.org/officeDocument/2006/relationships/hyperlink" Target="consultantplus://offline/ref=9F895EE0DE548AED4BA931C74D09DB800E226BEF3F63F0DB64388F16DD6098B060DBBEBF3Al5iDH" TargetMode="External"/><Relationship Id="rId55" Type="http://schemas.openxmlformats.org/officeDocument/2006/relationships/hyperlink" Target="consultantplus://offline/ref=9F895EE0DE548AED4BA931C74D09DB800E226BEF3F63F0DB64388F16DD6098B060DBBEBF3Bl5i1H" TargetMode="External"/><Relationship Id="rId63" Type="http://schemas.openxmlformats.org/officeDocument/2006/relationships/hyperlink" Target="consultantplus://offline/ref=9F895EE0DE548AED4BA931C74D09DB800E226BEF3F63F0DB64388F16DD6098B060DBBEBF3Al5i3H" TargetMode="External"/><Relationship Id="rId68" Type="http://schemas.openxmlformats.org/officeDocument/2006/relationships/hyperlink" Target="consultantplus://offline/ref=9F895EE0DE548AED4BA931C74D09DB800E226BEF3F63F0DB64388F16DD6098B060DBBEBF3Al5iDH" TargetMode="External"/><Relationship Id="rId76" Type="http://schemas.openxmlformats.org/officeDocument/2006/relationships/hyperlink" Target="consultantplus://offline/ref=9F895EE0DE548AED4BA931C74D09DB800E236AE43D64F0DB64388F16DDl6i0H" TargetMode="External"/><Relationship Id="rId84" Type="http://schemas.openxmlformats.org/officeDocument/2006/relationships/hyperlink" Target="consultantplus://offline/ref=9F895EE0DE548AED4BA931C74D09DB800E236AE43D64F0DB64388F16DDl6i0H" TargetMode="External"/><Relationship Id="rId89" Type="http://schemas.openxmlformats.org/officeDocument/2006/relationships/hyperlink" Target="consultantplus://offline/ref=9F895EE0DE548AED4BA931C74D09DB800E2362E73B6DF0DB64388F16DDl6i0H" TargetMode="External"/><Relationship Id="rId7" Type="http://schemas.openxmlformats.org/officeDocument/2006/relationships/hyperlink" Target="consultantplus://offline/ref=9F895EE0DE548AED4BA931C74D09DB800E236AE63967F0DB64388F16DDl6i0H" TargetMode="External"/><Relationship Id="rId71" Type="http://schemas.openxmlformats.org/officeDocument/2006/relationships/hyperlink" Target="consultantplus://offline/ref=9F895EE0DE548AED4BA931C74D09DB800E226BEF3F63F0DB64388F16DD6098B060DBBEBF3Al5i3H" TargetMode="External"/><Relationship Id="rId92" Type="http://schemas.openxmlformats.org/officeDocument/2006/relationships/hyperlink" Target="consultantplus://offline/ref=9F895EE0DE548AED4BA931C74D09DB800E236AE43D64F0DB64388F16DDl6i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895EE0DE548AED4BA931C74D09DB800E2362E63964F0DB64388F16DD6098B060DBBEBD3A55A357lBiAH" TargetMode="External"/><Relationship Id="rId29" Type="http://schemas.openxmlformats.org/officeDocument/2006/relationships/hyperlink" Target="consultantplus://offline/ref=9F895EE0DE548AED4BA931C74D09DB800E226BEF3F63F0DB64388F16DD6098B060DBBEB93El5i6H" TargetMode="External"/><Relationship Id="rId11" Type="http://schemas.openxmlformats.org/officeDocument/2006/relationships/hyperlink" Target="consultantplus://offline/ref=9F895EE0DE548AED4BA931C74D09DB800E236AE63967F0DB64388F16DDl6i0H" TargetMode="External"/><Relationship Id="rId24" Type="http://schemas.openxmlformats.org/officeDocument/2006/relationships/hyperlink" Target="consultantplus://offline/ref=9F895EE0DE548AED4BA931C74D09DB800E2362E63964F0DB64388F16DD6098B060DBBEBD3A55A355lBiAH" TargetMode="External"/><Relationship Id="rId32" Type="http://schemas.openxmlformats.org/officeDocument/2006/relationships/hyperlink" Target="consultantplus://offline/ref=9F895EE0DE548AED4BA931C74D09DB800E2363EE3B6DF0DB64388F16DD6098B060DBBEBD3A55A357lBi6H" TargetMode="External"/><Relationship Id="rId37" Type="http://schemas.openxmlformats.org/officeDocument/2006/relationships/hyperlink" Target="consultantplus://offline/ref=9F895EE0DE548AED4BA931C74D09DB800E206AE43563F0DB64388F16DDl6i0H" TargetMode="External"/><Relationship Id="rId40" Type="http://schemas.openxmlformats.org/officeDocument/2006/relationships/hyperlink" Target="consultantplus://offline/ref=9F895EE0DE548AED4BA931C74D09DB800E236AE43D64F0DB64388F16DDl6i0H" TargetMode="External"/><Relationship Id="rId45" Type="http://schemas.openxmlformats.org/officeDocument/2006/relationships/hyperlink" Target="consultantplus://offline/ref=9F895EE0DE548AED4BA931C74D09DB800E226BEF3F63F0DB64388F16DD6098B060DBBEBF3Al5i3H" TargetMode="External"/><Relationship Id="rId53" Type="http://schemas.openxmlformats.org/officeDocument/2006/relationships/hyperlink" Target="consultantplus://offline/ref=9F895EE0DE548AED4BA931C74D09DB800E226BEF3F63F0DB64388F16DD6098B060DBBEBF3Al5i3H" TargetMode="External"/><Relationship Id="rId58" Type="http://schemas.openxmlformats.org/officeDocument/2006/relationships/hyperlink" Target="consultantplus://offline/ref=9F895EE0DE548AED4BA931C74D09DB800E236AE43D64F0DB64388F16DDl6i0H" TargetMode="External"/><Relationship Id="rId66" Type="http://schemas.openxmlformats.org/officeDocument/2006/relationships/hyperlink" Target="consultantplus://offline/ref=9F895EE0DE548AED4BA931C74D09DB800E226BEF3F63F0DB64388F16DD6098B060DBBEBF3Bl5i2H" TargetMode="External"/><Relationship Id="rId74" Type="http://schemas.openxmlformats.org/officeDocument/2006/relationships/hyperlink" Target="consultantplus://offline/ref=9F895EE0DE548AED4BA931C74D09DB800E226BEF3F63F0DB64388F16DD6098B060DBBEBF3Bl5i2H" TargetMode="External"/><Relationship Id="rId79" Type="http://schemas.openxmlformats.org/officeDocument/2006/relationships/hyperlink" Target="consultantplus://offline/ref=9F895EE0DE548AED4BA931C74D09DB800E236AE63967F0DB64388F16DDl6i0H" TargetMode="External"/><Relationship Id="rId87" Type="http://schemas.openxmlformats.org/officeDocument/2006/relationships/hyperlink" Target="consultantplus://offline/ref=9F895EE0DE548AED4BA931C74D09DB800E236DEF3566F0DB64388F16DDl6i0H" TargetMode="External"/><Relationship Id="rId5" Type="http://schemas.openxmlformats.org/officeDocument/2006/relationships/hyperlink" Target="consultantplus://offline/ref=9F895EE0DE548AED4BA931C74D09DB800E226BEF3F63F0DB64388F16DD6098B060DBBEB93Fl5i3H" TargetMode="External"/><Relationship Id="rId61" Type="http://schemas.openxmlformats.org/officeDocument/2006/relationships/hyperlink" Target="consultantplus://offline/ref=9F895EE0DE548AED4BA931C74D09DB800E226BEF3F63F0DB64388F16DD6098B060DBBEBF3Bl5i1H" TargetMode="External"/><Relationship Id="rId82" Type="http://schemas.openxmlformats.org/officeDocument/2006/relationships/hyperlink" Target="consultantplus://offline/ref=9F895EE0DE548AED4BA931C74D09DB800E236AE43D64F0DB64388F16DDl6i0H" TargetMode="External"/><Relationship Id="rId90" Type="http://schemas.openxmlformats.org/officeDocument/2006/relationships/hyperlink" Target="consultantplus://offline/ref=9F895EE0DE548AED4BA931C74D09DB800E236DEF3566F0DB64388F16DDl6i0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9F895EE0DE548AED4BA931C74D09DB800E2362E63964F0DB64388F16DD6098B060DBBEBD3A55A356lBiAH" TargetMode="External"/><Relationship Id="rId14" Type="http://schemas.openxmlformats.org/officeDocument/2006/relationships/hyperlink" Target="consultantplus://offline/ref=9F895EE0DE548AED4BA931C74D09DB800E236AE63967F0DB64388F16DDl6i0H" TargetMode="External"/><Relationship Id="rId22" Type="http://schemas.openxmlformats.org/officeDocument/2006/relationships/hyperlink" Target="consultantplus://offline/ref=9F895EE0DE548AED4BA931C74D09DB800E2362E13B64F0DB64388F16DDl6i0H" TargetMode="External"/><Relationship Id="rId27" Type="http://schemas.openxmlformats.org/officeDocument/2006/relationships/hyperlink" Target="consultantplus://offline/ref=9F895EE0DE548AED4BA931C74D09DB800E2362E63964F0DB64388F16DD6098B060DBBEBD3A55A354lBiBH" TargetMode="External"/><Relationship Id="rId30" Type="http://schemas.openxmlformats.org/officeDocument/2006/relationships/hyperlink" Target="consultantplus://offline/ref=9F895EE0DE548AED4BA931C74D09DB800E236AE63967F0DB64388F16DDl6i0H" TargetMode="External"/><Relationship Id="rId35" Type="http://schemas.openxmlformats.org/officeDocument/2006/relationships/hyperlink" Target="consultantplus://offline/ref=9F895EE0DE548AED4BA931C74D09DB800D2B6CE23B60F0DB64388F16DDl6i0H" TargetMode="External"/><Relationship Id="rId43" Type="http://schemas.openxmlformats.org/officeDocument/2006/relationships/hyperlink" Target="consultantplus://offline/ref=9F895EE0DE548AED4BA931C74D09DB800E226BEF3F63F0DB64388F16DD6098B060DBBEBF3Bl5i1H" TargetMode="External"/><Relationship Id="rId48" Type="http://schemas.openxmlformats.org/officeDocument/2006/relationships/hyperlink" Target="consultantplus://offline/ref=9F895EE0DE548AED4BA931C74D09DB800E226BEF3F63F0DB64388F16DD6098B060DBBEBF3Bl5i2H" TargetMode="External"/><Relationship Id="rId56" Type="http://schemas.openxmlformats.org/officeDocument/2006/relationships/hyperlink" Target="consultantplus://offline/ref=9F895EE0DE548AED4BA931C74D09DB800E226BEF3F63F0DB64388F16DD6098B060DBBEBF3Bl5i2H" TargetMode="External"/><Relationship Id="rId64" Type="http://schemas.openxmlformats.org/officeDocument/2006/relationships/hyperlink" Target="consultantplus://offline/ref=9F895EE0DE548AED4BA931C74D09DB800E226BEF3F63F0DB64388F16DD6098B060DBBEBF3Al5iDH" TargetMode="External"/><Relationship Id="rId69" Type="http://schemas.openxmlformats.org/officeDocument/2006/relationships/hyperlink" Target="consultantplus://offline/ref=9F895EE0DE548AED4BA931C74D09DB800E226BEF3F63F0DB64388F16DD6098B060DBBEBF3Bl5i1H" TargetMode="External"/><Relationship Id="rId77" Type="http://schemas.openxmlformats.org/officeDocument/2006/relationships/hyperlink" Target="consultantplus://offline/ref=9F895EE0DE548AED4BA931C74D09DB800E236AE63967F0DB64388F16DDl6i0H" TargetMode="External"/><Relationship Id="rId8" Type="http://schemas.openxmlformats.org/officeDocument/2006/relationships/hyperlink" Target="consultantplus://offline/ref=9F895EE0DE548AED4BA931C74D09DB800E236AE43D64F0DB64388F16DDl6i0H" TargetMode="External"/><Relationship Id="rId51" Type="http://schemas.openxmlformats.org/officeDocument/2006/relationships/hyperlink" Target="consultantplus://offline/ref=9F895EE0DE548AED4BA931C74D09DB800E226BEF3F63F0DB64388F16DD6098B060DBBEBF3Bl5i1H" TargetMode="External"/><Relationship Id="rId72" Type="http://schemas.openxmlformats.org/officeDocument/2006/relationships/hyperlink" Target="consultantplus://offline/ref=9F895EE0DE548AED4BA931C74D09DB800E226BEF3F63F0DB64388F16DD6098B060DBBEBF3Al5iDH" TargetMode="External"/><Relationship Id="rId80" Type="http://schemas.openxmlformats.org/officeDocument/2006/relationships/hyperlink" Target="consultantplus://offline/ref=9F895EE0DE548AED4BA931C74D09DB800E236AE43D64F0DB64388F16DDl6i0H" TargetMode="External"/><Relationship Id="rId85" Type="http://schemas.openxmlformats.org/officeDocument/2006/relationships/hyperlink" Target="consultantplus://offline/ref=9F895EE0DE548AED4BA931C74D09DB800E236AE43D64F0DB64388F16DDl6i0H" TargetMode="External"/><Relationship Id="rId93" Type="http://schemas.openxmlformats.org/officeDocument/2006/relationships/hyperlink" Target="consultantplus://offline/ref=9F895EE0DE548AED4BA931C74D09DB800E236AE43D64F0DB64388F16DDl6i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895EE0DE548AED4BA931C74D09DB800E236AE43D64F0DB64388F16DDl6i0H" TargetMode="External"/><Relationship Id="rId17" Type="http://schemas.openxmlformats.org/officeDocument/2006/relationships/hyperlink" Target="consultantplus://offline/ref=9F895EE0DE548AED4BA931C74D09DB800E2362E63964F0DB64388F16DD6098B060DBBEBD3A55A357lBi7H" TargetMode="External"/><Relationship Id="rId25" Type="http://schemas.openxmlformats.org/officeDocument/2006/relationships/hyperlink" Target="consultantplus://offline/ref=9F895EE0DE548AED4BA931C74D09DB800E226BEF3F63F0DB64388F16DD6098B060DBBEB938l5i4H" TargetMode="External"/><Relationship Id="rId33" Type="http://schemas.openxmlformats.org/officeDocument/2006/relationships/hyperlink" Target="consultantplus://offline/ref=9F895EE0DE548AED4BA931C74D09DB800E2363EE3B6DF0DB64388F16DD6098B060DBBEBD3A55A357lBiBH" TargetMode="External"/><Relationship Id="rId38" Type="http://schemas.openxmlformats.org/officeDocument/2006/relationships/hyperlink" Target="consultantplus://offline/ref=9F895EE0DE548AED4BA931C74D09DB800D256EE43A6DF0DB64388F16DDl6i0H" TargetMode="External"/><Relationship Id="rId46" Type="http://schemas.openxmlformats.org/officeDocument/2006/relationships/hyperlink" Target="consultantplus://offline/ref=9F895EE0DE548AED4BA931C74D09DB800E226BEF3F63F0DB64388F16DD6098B060DBBEBF3Al5iDH" TargetMode="External"/><Relationship Id="rId59" Type="http://schemas.openxmlformats.org/officeDocument/2006/relationships/hyperlink" Target="consultantplus://offline/ref=9F895EE0DE548AED4BA931C74D09DB800E226BEF3F63F0DB64388F16DD6098B060DBBEBF3Al5i3H" TargetMode="External"/><Relationship Id="rId67" Type="http://schemas.openxmlformats.org/officeDocument/2006/relationships/hyperlink" Target="consultantplus://offline/ref=9F895EE0DE548AED4BA931C74D09DB800E226BEF3F63F0DB64388F16DD6098B060DBBEBF3Al5i3H" TargetMode="External"/><Relationship Id="rId20" Type="http://schemas.openxmlformats.org/officeDocument/2006/relationships/hyperlink" Target="consultantplus://offline/ref=9F895EE0DE548AED4BA931C74D09DB800E2362E13B64F0DB64388F16DDl6i0H" TargetMode="External"/><Relationship Id="rId41" Type="http://schemas.openxmlformats.org/officeDocument/2006/relationships/hyperlink" Target="consultantplus://offline/ref=9F895EE0DE548AED4BA931C74D09DB800E226BEF3F63F0DB64388F16DD6098B060DBBEBF3Al5i3H" TargetMode="External"/><Relationship Id="rId54" Type="http://schemas.openxmlformats.org/officeDocument/2006/relationships/hyperlink" Target="consultantplus://offline/ref=9F895EE0DE548AED4BA931C74D09DB800E226BEF3F63F0DB64388F16DD6098B060DBBEBF3Al5iDH" TargetMode="External"/><Relationship Id="rId62" Type="http://schemas.openxmlformats.org/officeDocument/2006/relationships/hyperlink" Target="consultantplus://offline/ref=9F895EE0DE548AED4BA931C74D09DB800E226BEF3F63F0DB64388F16DD6098B060DBBEBF3Bl5i2H" TargetMode="External"/><Relationship Id="rId70" Type="http://schemas.openxmlformats.org/officeDocument/2006/relationships/hyperlink" Target="consultantplus://offline/ref=9F895EE0DE548AED4BA931C74D09DB800E226BEF3F63F0DB64388F16DD6098B060DBBEBF3Bl5i2H" TargetMode="External"/><Relationship Id="rId75" Type="http://schemas.openxmlformats.org/officeDocument/2006/relationships/hyperlink" Target="consultantplus://offline/ref=9F895EE0DE548AED4BA931C74D09DB800E236AE63967F0DB64388F16DDl6i0H" TargetMode="External"/><Relationship Id="rId83" Type="http://schemas.openxmlformats.org/officeDocument/2006/relationships/hyperlink" Target="consultantplus://offline/ref=9F895EE0DE548AED4BA931C74D09DB800E236AE43D64F0DB64388F16DDl6i0H" TargetMode="External"/><Relationship Id="rId88" Type="http://schemas.openxmlformats.org/officeDocument/2006/relationships/hyperlink" Target="consultantplus://offline/ref=9F895EE0DE548AED4BA931C74D09DB800E226AE53C67F0DB64388F16DDl6i0H" TargetMode="External"/><Relationship Id="rId91" Type="http://schemas.openxmlformats.org/officeDocument/2006/relationships/hyperlink" Target="consultantplus://offline/ref=9F895EE0DE548AED4BA931C74D09DB800E226AE53C67F0DB64388F16DDl6i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95EE0DE548AED4BA931C74D09DB800E226BE73566F0DB64388F16DD6098B060DBBElBi4H" TargetMode="External"/><Relationship Id="rId15" Type="http://schemas.openxmlformats.org/officeDocument/2006/relationships/hyperlink" Target="consultantplus://offline/ref=9F895EE0DE548AED4BA931C74D09DB800E236AE43D64F0DB64388F16DDl6i0H" TargetMode="External"/><Relationship Id="rId23" Type="http://schemas.openxmlformats.org/officeDocument/2006/relationships/hyperlink" Target="consultantplus://offline/ref=9F895EE0DE548AED4BA931C74D09DB800E2362E63964F0DB64388F16DD6098B060DBBEBD3A55A356lBi7H" TargetMode="External"/><Relationship Id="rId28" Type="http://schemas.openxmlformats.org/officeDocument/2006/relationships/hyperlink" Target="consultantplus://offline/ref=9F895EE0DE548AED4BA931C74D09DB800E236AE13962F0DB64388F16DD6098B060DBBEBE3El5i2H" TargetMode="External"/><Relationship Id="rId36" Type="http://schemas.openxmlformats.org/officeDocument/2006/relationships/hyperlink" Target="consultantplus://offline/ref=9F895EE0DE548AED4BA931C74D09DB800D2B6CE23966F0DB64388F16DDl6i0H" TargetMode="External"/><Relationship Id="rId49" Type="http://schemas.openxmlformats.org/officeDocument/2006/relationships/hyperlink" Target="consultantplus://offline/ref=9F895EE0DE548AED4BA931C74D09DB800E226BEF3F63F0DB64388F16DD6098B060DBBEBF3Al5i3H" TargetMode="External"/><Relationship Id="rId57" Type="http://schemas.openxmlformats.org/officeDocument/2006/relationships/hyperlink" Target="consultantplus://offline/ref=9F895EE0DE548AED4BA931C74D09DB800E236AE63967F0DB64388F16DDl6i0H" TargetMode="External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9F895EE0DE548AED4BA931C74D09DB800E236AE43D64F0DB64388F16DDl6i0H" TargetMode="External"/><Relationship Id="rId44" Type="http://schemas.openxmlformats.org/officeDocument/2006/relationships/hyperlink" Target="consultantplus://offline/ref=9F895EE0DE548AED4BA931C74D09DB800E226BEF3F63F0DB64388F16DD6098B060DBBEBF3Bl5i2H" TargetMode="External"/><Relationship Id="rId52" Type="http://schemas.openxmlformats.org/officeDocument/2006/relationships/hyperlink" Target="consultantplus://offline/ref=9F895EE0DE548AED4BA931C74D09DB800E226BEF3F63F0DB64388F16DD6098B060DBBEBF3Bl5i2H" TargetMode="External"/><Relationship Id="rId60" Type="http://schemas.openxmlformats.org/officeDocument/2006/relationships/hyperlink" Target="consultantplus://offline/ref=9F895EE0DE548AED4BA931C74D09DB800E226BEF3F63F0DB64388F16DD6098B060DBBEBF3Al5iDH" TargetMode="External"/><Relationship Id="rId65" Type="http://schemas.openxmlformats.org/officeDocument/2006/relationships/hyperlink" Target="consultantplus://offline/ref=9F895EE0DE548AED4BA931C74D09DB800E226BEF3F63F0DB64388F16DD6098B060DBBEBF3Bl5i1H" TargetMode="External"/><Relationship Id="rId73" Type="http://schemas.openxmlformats.org/officeDocument/2006/relationships/hyperlink" Target="consultantplus://offline/ref=9F895EE0DE548AED4BA931C74D09DB800E226BEF3F63F0DB64388F16DD6098B060DBBEBF3Bl5i1H" TargetMode="External"/><Relationship Id="rId78" Type="http://schemas.openxmlformats.org/officeDocument/2006/relationships/hyperlink" Target="consultantplus://offline/ref=9F895EE0DE548AED4BA931C74D09DB800E236AE43D64F0DB64388F16DDl6i0H" TargetMode="External"/><Relationship Id="rId81" Type="http://schemas.openxmlformats.org/officeDocument/2006/relationships/hyperlink" Target="consultantplus://offline/ref=9F895EE0DE548AED4BA931C74D09DB800E236AE63967F0DB64388F16DDl6i0H" TargetMode="External"/><Relationship Id="rId86" Type="http://schemas.openxmlformats.org/officeDocument/2006/relationships/hyperlink" Target="consultantplus://offline/ref=9F895EE0DE548AED4BA931C74D09DB800E2362E73B6DF0DB64388F16DDl6i0H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9F895EE0DE548AED4BA931C74D09DB800E2363EE3B6DF0DB64388F16DD6098B060DBBEBD3A55A357lBiBH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9061</Words>
  <Characters>51650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2017-07-31T07:34:00Z</dcterms:created>
  <dcterms:modified xsi:type="dcterms:W3CDTF">2017-07-31T07:35:00Z</dcterms:modified>
</cp:coreProperties>
</file>